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31" w:rsidRPr="004301CE" w:rsidRDefault="00940E31" w:rsidP="00416799">
      <w:pPr>
        <w:pStyle w:val="Ttulo1"/>
        <w:ind w:firstLine="0"/>
        <w:rPr>
          <w:b w:val="0"/>
          <w:sz w:val="24"/>
          <w:szCs w:val="24"/>
        </w:rPr>
      </w:pPr>
      <w:r w:rsidRPr="004301CE">
        <w:rPr>
          <w:b w:val="0"/>
          <w:sz w:val="24"/>
          <w:szCs w:val="24"/>
        </w:rPr>
        <w:t>RESOLUÇÃO CFC N</w:t>
      </w:r>
      <w:r w:rsidR="004301CE" w:rsidRPr="004301CE">
        <w:rPr>
          <w:b w:val="0"/>
          <w:sz w:val="24"/>
          <w:szCs w:val="24"/>
        </w:rPr>
        <w:t>.</w:t>
      </w:r>
      <w:r w:rsidRPr="004301CE">
        <w:rPr>
          <w:b w:val="0"/>
          <w:sz w:val="24"/>
          <w:szCs w:val="24"/>
        </w:rPr>
        <w:t xml:space="preserve">º </w:t>
      </w:r>
      <w:r w:rsidR="00410BCC">
        <w:rPr>
          <w:b w:val="0"/>
          <w:sz w:val="24"/>
          <w:szCs w:val="24"/>
        </w:rPr>
        <w:t>1.282/10</w:t>
      </w:r>
    </w:p>
    <w:p w:rsidR="00940E31" w:rsidRPr="004301CE" w:rsidRDefault="00940E31" w:rsidP="00940E31">
      <w:pPr>
        <w:rPr>
          <w:sz w:val="24"/>
          <w:szCs w:val="24"/>
        </w:rPr>
      </w:pPr>
    </w:p>
    <w:p w:rsidR="00940E31" w:rsidRPr="004301CE" w:rsidRDefault="009A7E86" w:rsidP="00932E97">
      <w:pPr>
        <w:pStyle w:val="Recuodecorpodetexto"/>
        <w:ind w:left="4248" w:firstLine="5"/>
        <w:rPr>
          <w:b w:val="0"/>
          <w:i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Atualiza e consolida</w:t>
      </w:r>
      <w:r w:rsidR="00932E97" w:rsidRPr="00932E97">
        <w:rPr>
          <w:b w:val="0"/>
          <w:bCs/>
          <w:i/>
          <w:iCs/>
          <w:sz w:val="24"/>
          <w:szCs w:val="24"/>
        </w:rPr>
        <w:t xml:space="preserve"> dispositivos da Resolução CFC n</w:t>
      </w:r>
      <w:r w:rsidR="00E136D8">
        <w:rPr>
          <w:b w:val="0"/>
          <w:bCs/>
          <w:i/>
          <w:iCs/>
          <w:sz w:val="24"/>
          <w:szCs w:val="24"/>
        </w:rPr>
        <w:t>.</w:t>
      </w:r>
      <w:r w:rsidR="00932E97" w:rsidRPr="00932E97">
        <w:rPr>
          <w:b w:val="0"/>
          <w:bCs/>
          <w:i/>
          <w:iCs/>
          <w:sz w:val="24"/>
          <w:szCs w:val="24"/>
        </w:rPr>
        <w:t>º 750/93</w:t>
      </w:r>
      <w:r w:rsidR="00DA4E1C">
        <w:rPr>
          <w:b w:val="0"/>
          <w:bCs/>
          <w:i/>
          <w:iCs/>
          <w:sz w:val="24"/>
          <w:szCs w:val="24"/>
        </w:rPr>
        <w:t>,</w:t>
      </w:r>
      <w:r w:rsidR="00932E97" w:rsidRPr="00932E97">
        <w:rPr>
          <w:b w:val="0"/>
          <w:bCs/>
          <w:i/>
          <w:iCs/>
          <w:sz w:val="24"/>
          <w:szCs w:val="24"/>
        </w:rPr>
        <w:t xml:space="preserve"> que dispõe </w:t>
      </w:r>
      <w:r w:rsidR="0043032E">
        <w:rPr>
          <w:b w:val="0"/>
          <w:bCs/>
          <w:i/>
          <w:iCs/>
          <w:sz w:val="24"/>
          <w:szCs w:val="24"/>
        </w:rPr>
        <w:t xml:space="preserve">sobre </w:t>
      </w:r>
      <w:r w:rsidR="00932E97" w:rsidRPr="00932E97">
        <w:rPr>
          <w:b w:val="0"/>
          <w:bCs/>
          <w:i/>
          <w:iCs/>
          <w:sz w:val="24"/>
          <w:szCs w:val="24"/>
        </w:rPr>
        <w:t xml:space="preserve">os </w:t>
      </w:r>
      <w:r w:rsidR="00940E31" w:rsidRPr="004301CE">
        <w:rPr>
          <w:b w:val="0"/>
          <w:i/>
          <w:sz w:val="24"/>
          <w:szCs w:val="24"/>
        </w:rPr>
        <w:t>Princípios Fundamentais de Contabilidade.</w:t>
      </w:r>
    </w:p>
    <w:p w:rsidR="00940E31" w:rsidRPr="004301CE" w:rsidRDefault="00940E31" w:rsidP="00940E31">
      <w:pPr>
        <w:rPr>
          <w:sz w:val="24"/>
          <w:szCs w:val="24"/>
        </w:rPr>
      </w:pPr>
    </w:p>
    <w:p w:rsidR="00940E31" w:rsidRDefault="00940E31" w:rsidP="00DD6021">
      <w:pPr>
        <w:ind w:firstLine="2127"/>
        <w:jc w:val="both"/>
        <w:rPr>
          <w:sz w:val="24"/>
          <w:szCs w:val="24"/>
        </w:rPr>
      </w:pPr>
      <w:r w:rsidRPr="004301CE">
        <w:rPr>
          <w:bCs/>
          <w:sz w:val="24"/>
          <w:szCs w:val="24"/>
        </w:rPr>
        <w:t>O CONSELHO FEDERAL DE CONTABILIDADE</w:t>
      </w:r>
      <w:r w:rsidRPr="004301CE">
        <w:rPr>
          <w:sz w:val="24"/>
          <w:szCs w:val="24"/>
        </w:rPr>
        <w:t>, no exercício de suas atribuições legais e regimentais,</w:t>
      </w:r>
    </w:p>
    <w:p w:rsidR="00B110B9" w:rsidRPr="004301CE" w:rsidRDefault="00B110B9" w:rsidP="00DD6021">
      <w:pPr>
        <w:ind w:firstLine="2127"/>
        <w:jc w:val="both"/>
        <w:rPr>
          <w:sz w:val="24"/>
          <w:szCs w:val="24"/>
        </w:rPr>
      </w:pPr>
    </w:p>
    <w:p w:rsidR="003E209A" w:rsidRPr="004D0C74" w:rsidRDefault="003E209A" w:rsidP="004D0C74">
      <w:pPr>
        <w:ind w:firstLine="2127"/>
        <w:jc w:val="both"/>
        <w:rPr>
          <w:bCs/>
          <w:sz w:val="24"/>
          <w:szCs w:val="24"/>
        </w:rPr>
      </w:pPr>
      <w:r w:rsidRPr="004D0C74">
        <w:rPr>
          <w:bCs/>
          <w:sz w:val="24"/>
          <w:szCs w:val="24"/>
        </w:rPr>
        <w:t>CONSIDERANDO que</w:t>
      </w:r>
      <w:r w:rsidR="00AF6F1A" w:rsidRPr="004D0C74">
        <w:rPr>
          <w:bCs/>
          <w:sz w:val="24"/>
          <w:szCs w:val="24"/>
        </w:rPr>
        <w:t>,</w:t>
      </w:r>
      <w:r w:rsidRPr="004D0C74">
        <w:rPr>
          <w:bCs/>
          <w:sz w:val="24"/>
          <w:szCs w:val="24"/>
        </w:rPr>
        <w:t xml:space="preserve"> por conta do processo de convergência às normas internacionais de contabilidade, o Conselho Federal de Contabilidade emitiu a NBC T 1 – Estrutura Conceitual para a Elaboração e Apresentação das Demonstrações Contábeis, </w:t>
      </w:r>
      <w:r w:rsidR="00AF6F1A" w:rsidRPr="004D0C74">
        <w:rPr>
          <w:bCs/>
          <w:sz w:val="24"/>
          <w:szCs w:val="24"/>
        </w:rPr>
        <w:t>que</w:t>
      </w:r>
      <w:r w:rsidRPr="004D0C74">
        <w:rPr>
          <w:bCs/>
          <w:sz w:val="24"/>
          <w:szCs w:val="24"/>
        </w:rPr>
        <w:t xml:space="preserve"> discute a aplicabilidade dos </w:t>
      </w:r>
      <w:r w:rsidR="00267823" w:rsidRPr="004D0C74">
        <w:rPr>
          <w:bCs/>
          <w:sz w:val="24"/>
          <w:szCs w:val="24"/>
        </w:rPr>
        <w:t xml:space="preserve">Princípios Fundamentais </w:t>
      </w:r>
      <w:r w:rsidRPr="004D0C74">
        <w:rPr>
          <w:bCs/>
          <w:sz w:val="24"/>
          <w:szCs w:val="24"/>
        </w:rPr>
        <w:t xml:space="preserve">de </w:t>
      </w:r>
      <w:r w:rsidR="00267823">
        <w:rPr>
          <w:bCs/>
          <w:sz w:val="24"/>
          <w:szCs w:val="24"/>
        </w:rPr>
        <w:t>C</w:t>
      </w:r>
      <w:r w:rsidRPr="004D0C74">
        <w:rPr>
          <w:bCs/>
          <w:sz w:val="24"/>
          <w:szCs w:val="24"/>
        </w:rPr>
        <w:t xml:space="preserve">ontabilidade </w:t>
      </w:r>
      <w:r w:rsidR="009A0D06" w:rsidRPr="004D0C74">
        <w:rPr>
          <w:bCs/>
          <w:sz w:val="24"/>
          <w:szCs w:val="24"/>
        </w:rPr>
        <w:t>contidos</w:t>
      </w:r>
      <w:r w:rsidRPr="004D0C74">
        <w:rPr>
          <w:bCs/>
          <w:sz w:val="24"/>
          <w:szCs w:val="24"/>
        </w:rPr>
        <w:t xml:space="preserve"> na Resolução CFC n</w:t>
      </w:r>
      <w:r w:rsidR="00DA4E1C">
        <w:rPr>
          <w:bCs/>
          <w:sz w:val="24"/>
          <w:szCs w:val="24"/>
        </w:rPr>
        <w:t>.</w:t>
      </w:r>
      <w:r w:rsidRPr="004D0C74">
        <w:rPr>
          <w:bCs/>
          <w:sz w:val="24"/>
          <w:szCs w:val="24"/>
        </w:rPr>
        <w:t>º 750/93;</w:t>
      </w:r>
    </w:p>
    <w:p w:rsidR="003E209A" w:rsidRPr="004D0C74" w:rsidRDefault="003E209A" w:rsidP="004D0C74">
      <w:pPr>
        <w:ind w:firstLine="2127"/>
        <w:jc w:val="both"/>
        <w:rPr>
          <w:bCs/>
          <w:sz w:val="24"/>
          <w:szCs w:val="24"/>
        </w:rPr>
      </w:pPr>
    </w:p>
    <w:p w:rsidR="00AF6F1A" w:rsidRPr="004D0C74" w:rsidRDefault="002E1E71" w:rsidP="004D0C74">
      <w:pPr>
        <w:ind w:firstLine="2127"/>
        <w:jc w:val="both"/>
        <w:rPr>
          <w:bCs/>
          <w:sz w:val="24"/>
          <w:szCs w:val="24"/>
        </w:rPr>
      </w:pPr>
      <w:r w:rsidRPr="004D0C74">
        <w:rPr>
          <w:bCs/>
          <w:sz w:val="24"/>
          <w:szCs w:val="24"/>
        </w:rPr>
        <w:t>CONSIDERANDO a necessidade de manutenção da Resolução CFC n</w:t>
      </w:r>
      <w:r w:rsidR="00E136D8">
        <w:rPr>
          <w:bCs/>
          <w:sz w:val="24"/>
          <w:szCs w:val="24"/>
        </w:rPr>
        <w:t>.</w:t>
      </w:r>
      <w:r w:rsidRPr="004D0C74">
        <w:rPr>
          <w:bCs/>
          <w:sz w:val="24"/>
          <w:szCs w:val="24"/>
        </w:rPr>
        <w:t xml:space="preserve">º 750/93, que </w:t>
      </w:r>
      <w:r w:rsidR="00E91B1B">
        <w:rPr>
          <w:bCs/>
          <w:sz w:val="24"/>
          <w:szCs w:val="24"/>
        </w:rPr>
        <w:t>foi</w:t>
      </w:r>
      <w:r w:rsidRPr="004D0C74">
        <w:rPr>
          <w:bCs/>
          <w:sz w:val="24"/>
          <w:szCs w:val="24"/>
        </w:rPr>
        <w:t xml:space="preserve"> e continua sendo referência para outros organismos normativos e reguladores</w:t>
      </w:r>
      <w:r w:rsidR="00E91B1B">
        <w:rPr>
          <w:bCs/>
          <w:sz w:val="24"/>
          <w:szCs w:val="24"/>
        </w:rPr>
        <w:t xml:space="preserve"> brasileiros</w:t>
      </w:r>
      <w:r w:rsidRPr="004D0C74">
        <w:rPr>
          <w:bCs/>
          <w:sz w:val="24"/>
          <w:szCs w:val="24"/>
        </w:rPr>
        <w:t>;</w:t>
      </w:r>
    </w:p>
    <w:p w:rsidR="00AF6F1A" w:rsidRPr="004D0C74" w:rsidRDefault="00AF6F1A" w:rsidP="004D0C74">
      <w:pPr>
        <w:ind w:firstLine="2127"/>
        <w:jc w:val="both"/>
        <w:rPr>
          <w:bCs/>
          <w:sz w:val="24"/>
          <w:szCs w:val="24"/>
        </w:rPr>
      </w:pPr>
    </w:p>
    <w:p w:rsidR="002E1E71" w:rsidRDefault="002E1E71" w:rsidP="004D0C74">
      <w:pPr>
        <w:ind w:firstLine="2127"/>
        <w:jc w:val="both"/>
        <w:rPr>
          <w:sz w:val="24"/>
          <w:szCs w:val="24"/>
        </w:rPr>
      </w:pPr>
      <w:r w:rsidRPr="004D0C74">
        <w:rPr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a importância do conteúdo doutrinário apresentado na Resolução CFC n</w:t>
      </w:r>
      <w:r w:rsidR="00E136D8">
        <w:rPr>
          <w:sz w:val="24"/>
          <w:szCs w:val="24"/>
        </w:rPr>
        <w:t>.</w:t>
      </w:r>
      <w:r>
        <w:rPr>
          <w:sz w:val="24"/>
          <w:szCs w:val="24"/>
        </w:rPr>
        <w:t xml:space="preserve">º 750/93, que </w:t>
      </w:r>
      <w:r w:rsidR="008359D8">
        <w:rPr>
          <w:sz w:val="24"/>
          <w:szCs w:val="24"/>
        </w:rPr>
        <w:t>continua sendo, nesse novo cenário convergido, o alicerce para</w:t>
      </w:r>
      <w:r>
        <w:rPr>
          <w:sz w:val="24"/>
          <w:szCs w:val="24"/>
        </w:rPr>
        <w:t xml:space="preserve"> o julgamento </w:t>
      </w:r>
      <w:r w:rsidR="008359D8">
        <w:rPr>
          <w:sz w:val="24"/>
          <w:szCs w:val="24"/>
        </w:rPr>
        <w:t>profissional</w:t>
      </w:r>
      <w:r w:rsidR="005B075B">
        <w:rPr>
          <w:sz w:val="24"/>
          <w:szCs w:val="24"/>
        </w:rPr>
        <w:t xml:space="preserve"> na aplicação das </w:t>
      </w:r>
      <w:r w:rsidR="00E91B1B">
        <w:rPr>
          <w:sz w:val="24"/>
          <w:szCs w:val="24"/>
        </w:rPr>
        <w:t>N</w:t>
      </w:r>
      <w:r w:rsidR="005B075B">
        <w:rPr>
          <w:sz w:val="24"/>
          <w:szCs w:val="24"/>
        </w:rPr>
        <w:t xml:space="preserve">ormas </w:t>
      </w:r>
      <w:r w:rsidR="00E91B1B">
        <w:rPr>
          <w:sz w:val="24"/>
          <w:szCs w:val="24"/>
        </w:rPr>
        <w:t xml:space="preserve">Brasileiras </w:t>
      </w:r>
      <w:r w:rsidR="005B075B">
        <w:rPr>
          <w:sz w:val="24"/>
          <w:szCs w:val="24"/>
        </w:rPr>
        <w:t xml:space="preserve">de </w:t>
      </w:r>
      <w:r w:rsidR="00E91B1B">
        <w:rPr>
          <w:sz w:val="24"/>
          <w:szCs w:val="24"/>
        </w:rPr>
        <w:t>C</w:t>
      </w:r>
      <w:r w:rsidR="005B075B">
        <w:rPr>
          <w:sz w:val="24"/>
          <w:szCs w:val="24"/>
        </w:rPr>
        <w:t>ontabilidade</w:t>
      </w:r>
      <w:r>
        <w:rPr>
          <w:sz w:val="24"/>
          <w:szCs w:val="24"/>
        </w:rPr>
        <w:t>;</w:t>
      </w:r>
    </w:p>
    <w:p w:rsidR="002E1E71" w:rsidRDefault="002E1E71" w:rsidP="002E1E71">
      <w:pPr>
        <w:ind w:left="567"/>
        <w:jc w:val="both"/>
        <w:rPr>
          <w:sz w:val="24"/>
          <w:szCs w:val="24"/>
        </w:rPr>
      </w:pPr>
    </w:p>
    <w:p w:rsidR="003E209A" w:rsidRPr="004D0C74" w:rsidRDefault="003E209A" w:rsidP="004D0C74">
      <w:pPr>
        <w:ind w:firstLine="2127"/>
        <w:jc w:val="both"/>
        <w:rPr>
          <w:bCs/>
          <w:sz w:val="24"/>
          <w:szCs w:val="24"/>
        </w:rPr>
      </w:pPr>
      <w:r w:rsidRPr="004D0C74">
        <w:rPr>
          <w:bCs/>
          <w:sz w:val="24"/>
          <w:szCs w:val="24"/>
        </w:rPr>
        <w:t xml:space="preserve">CONSIDERANDO </w:t>
      </w:r>
      <w:r w:rsidR="00AF6F1A" w:rsidRPr="004D0C74">
        <w:rPr>
          <w:bCs/>
          <w:sz w:val="24"/>
          <w:szCs w:val="24"/>
        </w:rPr>
        <w:t>que</w:t>
      </w:r>
      <w:r w:rsidR="00DA4E1C">
        <w:rPr>
          <w:bCs/>
          <w:sz w:val="24"/>
          <w:szCs w:val="24"/>
        </w:rPr>
        <w:t>,</w:t>
      </w:r>
      <w:r w:rsidR="00AF6F1A" w:rsidRPr="004D0C74">
        <w:rPr>
          <w:bCs/>
          <w:sz w:val="24"/>
          <w:szCs w:val="24"/>
        </w:rPr>
        <w:t xml:space="preserve"> para assegurar a adequada aplicação das </w:t>
      </w:r>
      <w:r w:rsidR="00E5696C">
        <w:rPr>
          <w:bCs/>
          <w:sz w:val="24"/>
          <w:szCs w:val="24"/>
        </w:rPr>
        <w:t>N</w:t>
      </w:r>
      <w:r w:rsidR="00AF6F1A" w:rsidRPr="004D0C74">
        <w:rPr>
          <w:bCs/>
          <w:sz w:val="24"/>
          <w:szCs w:val="24"/>
        </w:rPr>
        <w:t xml:space="preserve">ormas </w:t>
      </w:r>
      <w:r w:rsidR="00E5696C">
        <w:rPr>
          <w:bCs/>
          <w:sz w:val="24"/>
          <w:szCs w:val="24"/>
        </w:rPr>
        <w:t xml:space="preserve">Brasileiras </w:t>
      </w:r>
      <w:r w:rsidR="00AF6F1A" w:rsidRPr="004D0C74">
        <w:rPr>
          <w:bCs/>
          <w:sz w:val="24"/>
          <w:szCs w:val="24"/>
        </w:rPr>
        <w:t xml:space="preserve">de </w:t>
      </w:r>
      <w:r w:rsidR="00A96188">
        <w:rPr>
          <w:bCs/>
          <w:sz w:val="24"/>
          <w:szCs w:val="24"/>
        </w:rPr>
        <w:t>C</w:t>
      </w:r>
      <w:r w:rsidR="00AF6F1A" w:rsidRPr="004D0C74">
        <w:rPr>
          <w:bCs/>
          <w:sz w:val="24"/>
          <w:szCs w:val="24"/>
        </w:rPr>
        <w:t xml:space="preserve">ontabilidade à luz dos </w:t>
      </w:r>
      <w:r w:rsidR="00DA4E1C">
        <w:rPr>
          <w:bCs/>
          <w:sz w:val="24"/>
          <w:szCs w:val="24"/>
        </w:rPr>
        <w:t>P</w:t>
      </w:r>
      <w:r w:rsidR="00AF6F1A" w:rsidRPr="004D0C74">
        <w:rPr>
          <w:bCs/>
          <w:sz w:val="24"/>
          <w:szCs w:val="24"/>
        </w:rPr>
        <w:t xml:space="preserve">rincípios de </w:t>
      </w:r>
      <w:r w:rsidR="00DA4E1C">
        <w:rPr>
          <w:bCs/>
          <w:sz w:val="24"/>
          <w:szCs w:val="24"/>
        </w:rPr>
        <w:t>C</w:t>
      </w:r>
      <w:r w:rsidR="00AF6F1A" w:rsidRPr="004D0C74">
        <w:rPr>
          <w:bCs/>
          <w:sz w:val="24"/>
          <w:szCs w:val="24"/>
        </w:rPr>
        <w:t xml:space="preserve">ontabilidade, há </w:t>
      </w:r>
      <w:r w:rsidRPr="004D0C74">
        <w:rPr>
          <w:bCs/>
          <w:sz w:val="24"/>
          <w:szCs w:val="24"/>
        </w:rPr>
        <w:t xml:space="preserve">a necessidade </w:t>
      </w:r>
      <w:r w:rsidR="00AF6F1A" w:rsidRPr="004D0C74">
        <w:rPr>
          <w:bCs/>
          <w:sz w:val="24"/>
          <w:szCs w:val="24"/>
        </w:rPr>
        <w:t xml:space="preserve">de </w:t>
      </w:r>
      <w:r w:rsidRPr="004D0C74">
        <w:rPr>
          <w:bCs/>
          <w:sz w:val="24"/>
          <w:szCs w:val="24"/>
        </w:rPr>
        <w:t>harmoniza</w:t>
      </w:r>
      <w:r w:rsidR="00AF6F1A" w:rsidRPr="004D0C74">
        <w:rPr>
          <w:bCs/>
          <w:sz w:val="24"/>
          <w:szCs w:val="24"/>
        </w:rPr>
        <w:t>ção</w:t>
      </w:r>
      <w:r w:rsidRPr="004D0C74">
        <w:rPr>
          <w:bCs/>
          <w:sz w:val="24"/>
          <w:szCs w:val="24"/>
        </w:rPr>
        <w:t xml:space="preserve"> </w:t>
      </w:r>
      <w:r w:rsidR="00AF6F1A" w:rsidRPr="004D0C74">
        <w:rPr>
          <w:bCs/>
          <w:sz w:val="24"/>
          <w:szCs w:val="24"/>
        </w:rPr>
        <w:t>d</w:t>
      </w:r>
      <w:r w:rsidRPr="004D0C74">
        <w:rPr>
          <w:bCs/>
          <w:sz w:val="24"/>
          <w:szCs w:val="24"/>
        </w:rPr>
        <w:t>os dois documentos vigentes</w:t>
      </w:r>
      <w:r w:rsidR="008359D8" w:rsidRPr="004D0C74">
        <w:rPr>
          <w:bCs/>
          <w:sz w:val="24"/>
          <w:szCs w:val="24"/>
        </w:rPr>
        <w:t xml:space="preserve"> (Resolução CFC n</w:t>
      </w:r>
      <w:r w:rsidR="00E136D8">
        <w:rPr>
          <w:bCs/>
          <w:sz w:val="24"/>
          <w:szCs w:val="24"/>
        </w:rPr>
        <w:t>.</w:t>
      </w:r>
      <w:r w:rsidR="008359D8" w:rsidRPr="004D0C74">
        <w:rPr>
          <w:bCs/>
          <w:sz w:val="24"/>
          <w:szCs w:val="24"/>
        </w:rPr>
        <w:t>º 750/93 e NBC T 1)</w:t>
      </w:r>
      <w:r w:rsidR="00AF6F1A" w:rsidRPr="004D0C74">
        <w:rPr>
          <w:bCs/>
          <w:sz w:val="24"/>
          <w:szCs w:val="24"/>
        </w:rPr>
        <w:t>;</w:t>
      </w:r>
    </w:p>
    <w:p w:rsidR="003E209A" w:rsidRPr="004D0C74" w:rsidRDefault="003E209A" w:rsidP="004D0C74">
      <w:pPr>
        <w:ind w:firstLine="2127"/>
        <w:jc w:val="both"/>
        <w:rPr>
          <w:bCs/>
          <w:sz w:val="24"/>
          <w:szCs w:val="24"/>
        </w:rPr>
      </w:pPr>
    </w:p>
    <w:p w:rsidR="00B110B9" w:rsidRPr="004301CE" w:rsidRDefault="00B110B9" w:rsidP="004D0C74">
      <w:pPr>
        <w:ind w:firstLine="2127"/>
        <w:jc w:val="both"/>
        <w:rPr>
          <w:sz w:val="24"/>
          <w:szCs w:val="24"/>
        </w:rPr>
      </w:pPr>
      <w:r w:rsidRPr="004D0C74">
        <w:rPr>
          <w:bCs/>
          <w:sz w:val="24"/>
          <w:szCs w:val="24"/>
        </w:rPr>
        <w:t>CONSIDERANDO</w:t>
      </w:r>
      <w:r w:rsidRPr="004301CE">
        <w:rPr>
          <w:sz w:val="24"/>
          <w:szCs w:val="24"/>
        </w:rPr>
        <w:t xml:space="preserve"> que</w:t>
      </w:r>
      <w:r w:rsidR="00AF6F1A">
        <w:rPr>
          <w:sz w:val="24"/>
          <w:szCs w:val="24"/>
        </w:rPr>
        <w:t>, por conta dessa harmonização,</w:t>
      </w:r>
      <w:r w:rsidRPr="004301CE">
        <w:rPr>
          <w:sz w:val="24"/>
          <w:szCs w:val="24"/>
        </w:rPr>
        <w:t xml:space="preserve"> a denominação de Princípios Fundamentais de Contabilidade deva ser alterada para Princípios de Contabilidade, visto ser suficiente para o perfeito entendimento dos usuários das demonstrações contábeis e dos profissionais da Contabilidade</w:t>
      </w:r>
      <w:r w:rsidR="00DA4E1C">
        <w:rPr>
          <w:sz w:val="24"/>
          <w:szCs w:val="24"/>
        </w:rPr>
        <w:t>,</w:t>
      </w:r>
    </w:p>
    <w:p w:rsidR="00B110B9" w:rsidRPr="004301CE" w:rsidRDefault="00B110B9" w:rsidP="00B110B9">
      <w:pPr>
        <w:ind w:firstLine="2268"/>
        <w:jc w:val="both"/>
        <w:rPr>
          <w:sz w:val="24"/>
          <w:szCs w:val="24"/>
        </w:rPr>
      </w:pPr>
    </w:p>
    <w:p w:rsidR="00DD6021" w:rsidRPr="004301CE" w:rsidRDefault="00DD6021" w:rsidP="00DD6021">
      <w:pPr>
        <w:pStyle w:val="Corpodetexto"/>
        <w:tabs>
          <w:tab w:val="left" w:pos="708"/>
        </w:tabs>
        <w:rPr>
          <w:sz w:val="24"/>
          <w:szCs w:val="24"/>
        </w:rPr>
      </w:pPr>
      <w:r w:rsidRPr="004301CE">
        <w:rPr>
          <w:sz w:val="24"/>
          <w:szCs w:val="24"/>
        </w:rPr>
        <w:tab/>
      </w:r>
    </w:p>
    <w:p w:rsidR="00DD6021" w:rsidRPr="004301CE" w:rsidRDefault="00DD6021" w:rsidP="00DD6021">
      <w:pPr>
        <w:ind w:firstLine="2127"/>
        <w:rPr>
          <w:bCs/>
          <w:sz w:val="24"/>
          <w:szCs w:val="24"/>
        </w:rPr>
      </w:pPr>
      <w:r w:rsidRPr="004301CE">
        <w:rPr>
          <w:bCs/>
          <w:sz w:val="24"/>
          <w:szCs w:val="24"/>
        </w:rPr>
        <w:t>RESOLVE:</w:t>
      </w:r>
    </w:p>
    <w:p w:rsidR="00940E31" w:rsidRPr="004301CE" w:rsidRDefault="00940E31" w:rsidP="00940E31">
      <w:pPr>
        <w:tabs>
          <w:tab w:val="left" w:pos="1418"/>
        </w:tabs>
        <w:rPr>
          <w:bCs/>
          <w:sz w:val="24"/>
          <w:szCs w:val="24"/>
        </w:rPr>
      </w:pPr>
      <w:r w:rsidRPr="004301CE">
        <w:rPr>
          <w:bCs/>
          <w:sz w:val="24"/>
          <w:szCs w:val="24"/>
        </w:rPr>
        <w:tab/>
      </w:r>
    </w:p>
    <w:p w:rsidR="00292535" w:rsidRPr="0043032E" w:rsidRDefault="001B1901" w:rsidP="00AF70F1">
      <w:pPr>
        <w:ind w:firstLine="2127"/>
        <w:jc w:val="both"/>
        <w:rPr>
          <w:bCs/>
          <w:i/>
          <w:iCs/>
          <w:sz w:val="24"/>
          <w:szCs w:val="24"/>
        </w:rPr>
      </w:pPr>
      <w:r w:rsidRPr="004301CE">
        <w:rPr>
          <w:sz w:val="24"/>
          <w:szCs w:val="24"/>
        </w:rPr>
        <w:t xml:space="preserve">Art. 1º </w:t>
      </w:r>
      <w:r w:rsidR="00AF70F1">
        <w:rPr>
          <w:sz w:val="24"/>
          <w:szCs w:val="24"/>
        </w:rPr>
        <w:t>Os “Princípios Fundamentais de Contabilidade (PFC)”</w:t>
      </w:r>
      <w:r w:rsidR="00490338">
        <w:rPr>
          <w:sz w:val="24"/>
          <w:szCs w:val="24"/>
        </w:rPr>
        <w:t>,</w:t>
      </w:r>
      <w:r w:rsidR="00AF70F1">
        <w:rPr>
          <w:sz w:val="24"/>
          <w:szCs w:val="24"/>
        </w:rPr>
        <w:t xml:space="preserve"> </w:t>
      </w:r>
      <w:r w:rsidR="00490338">
        <w:rPr>
          <w:sz w:val="24"/>
          <w:szCs w:val="24"/>
        </w:rPr>
        <w:t>citados na Resolução CFC n</w:t>
      </w:r>
      <w:r w:rsidR="00E136D8">
        <w:rPr>
          <w:sz w:val="24"/>
          <w:szCs w:val="24"/>
        </w:rPr>
        <w:t>.</w:t>
      </w:r>
      <w:r w:rsidR="00490338">
        <w:rPr>
          <w:sz w:val="24"/>
          <w:szCs w:val="24"/>
        </w:rPr>
        <w:t xml:space="preserve">º 750/93, </w:t>
      </w:r>
      <w:r w:rsidR="00AF70F1">
        <w:rPr>
          <w:sz w:val="24"/>
          <w:szCs w:val="24"/>
        </w:rPr>
        <w:t>passam a denominar-se “Princípios de Contabilidade (PC)</w:t>
      </w:r>
      <w:r w:rsidR="00006728">
        <w:rPr>
          <w:sz w:val="24"/>
          <w:szCs w:val="24"/>
        </w:rPr>
        <w:t>”</w:t>
      </w:r>
      <w:r w:rsidR="00490338">
        <w:rPr>
          <w:sz w:val="24"/>
          <w:szCs w:val="24"/>
        </w:rPr>
        <w:t>.</w:t>
      </w:r>
    </w:p>
    <w:p w:rsidR="00292535" w:rsidRPr="004301CE" w:rsidRDefault="00292535">
      <w:pPr>
        <w:jc w:val="both"/>
        <w:rPr>
          <w:sz w:val="24"/>
          <w:szCs w:val="24"/>
        </w:rPr>
      </w:pPr>
    </w:p>
    <w:p w:rsidR="00C23AB1" w:rsidRPr="004301CE" w:rsidRDefault="00C23AB1" w:rsidP="00C23AB1">
      <w:pPr>
        <w:ind w:firstLine="2127"/>
        <w:jc w:val="both"/>
        <w:rPr>
          <w:b/>
          <w:sz w:val="24"/>
          <w:szCs w:val="24"/>
        </w:rPr>
      </w:pPr>
      <w:r w:rsidRPr="004301CE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4301CE">
        <w:rPr>
          <w:sz w:val="24"/>
          <w:szCs w:val="24"/>
        </w:rPr>
        <w:t xml:space="preserve">º </w:t>
      </w:r>
      <w:r w:rsidR="00335470">
        <w:rPr>
          <w:sz w:val="24"/>
          <w:szCs w:val="24"/>
        </w:rPr>
        <w:t xml:space="preserve">O </w:t>
      </w:r>
      <w:r w:rsidR="00E91B1B">
        <w:rPr>
          <w:sz w:val="24"/>
          <w:szCs w:val="24"/>
        </w:rPr>
        <w:t>“</w:t>
      </w:r>
      <w:r w:rsidR="00335470">
        <w:rPr>
          <w:sz w:val="24"/>
          <w:szCs w:val="24"/>
        </w:rPr>
        <w:t>CONSIDERANDO</w:t>
      </w:r>
      <w:r w:rsidR="00E91B1B">
        <w:rPr>
          <w:sz w:val="24"/>
          <w:szCs w:val="24"/>
        </w:rPr>
        <w:t>”</w:t>
      </w:r>
      <w:r w:rsidR="00335470">
        <w:rPr>
          <w:sz w:val="24"/>
          <w:szCs w:val="24"/>
        </w:rPr>
        <w:t xml:space="preserve"> da</w:t>
      </w:r>
      <w:r w:rsidRPr="004301CE">
        <w:rPr>
          <w:sz w:val="24"/>
          <w:szCs w:val="24"/>
        </w:rPr>
        <w:t xml:space="preserve"> Resolução CFC n</w:t>
      </w:r>
      <w:r>
        <w:rPr>
          <w:sz w:val="24"/>
          <w:szCs w:val="24"/>
        </w:rPr>
        <w:t>.</w:t>
      </w:r>
      <w:r w:rsidRPr="004301CE">
        <w:rPr>
          <w:sz w:val="24"/>
          <w:szCs w:val="24"/>
        </w:rPr>
        <w:t>º 750/93</w:t>
      </w:r>
      <w:r>
        <w:rPr>
          <w:sz w:val="24"/>
          <w:szCs w:val="24"/>
        </w:rPr>
        <w:t xml:space="preserve"> passa </w:t>
      </w:r>
      <w:r w:rsidR="00EF47C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vigorar </w:t>
      </w:r>
      <w:r w:rsidR="00335470">
        <w:rPr>
          <w:sz w:val="24"/>
          <w:szCs w:val="24"/>
        </w:rPr>
        <w:t>com a seguinte redação:</w:t>
      </w:r>
    </w:p>
    <w:p w:rsidR="00335470" w:rsidRDefault="00335470" w:rsidP="00335470">
      <w:pPr>
        <w:jc w:val="both"/>
        <w:rPr>
          <w:sz w:val="24"/>
          <w:szCs w:val="24"/>
        </w:rPr>
      </w:pPr>
    </w:p>
    <w:p w:rsidR="00335470" w:rsidRDefault="00335470" w:rsidP="0033547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“CONSIDERANDO a necessidade de prover fundamentação apropriada para interpretação e aplicação das Normas Brasileiras de Contabilidade,”</w:t>
      </w:r>
    </w:p>
    <w:p w:rsidR="00335470" w:rsidRPr="004301CE" w:rsidRDefault="00335470" w:rsidP="00335470">
      <w:pPr>
        <w:jc w:val="both"/>
        <w:rPr>
          <w:sz w:val="24"/>
          <w:szCs w:val="24"/>
        </w:rPr>
      </w:pPr>
    </w:p>
    <w:p w:rsidR="00292535" w:rsidRPr="004301CE" w:rsidRDefault="00292535">
      <w:pPr>
        <w:ind w:firstLine="2268"/>
        <w:jc w:val="both"/>
        <w:rPr>
          <w:sz w:val="24"/>
          <w:szCs w:val="24"/>
        </w:rPr>
      </w:pPr>
    </w:p>
    <w:p w:rsidR="00805DFF" w:rsidRPr="004301CE" w:rsidRDefault="00805DFF" w:rsidP="00805DFF">
      <w:pPr>
        <w:ind w:firstLine="2127"/>
        <w:jc w:val="both"/>
        <w:rPr>
          <w:b/>
          <w:sz w:val="24"/>
          <w:szCs w:val="24"/>
        </w:rPr>
      </w:pPr>
      <w:r w:rsidRPr="004301CE">
        <w:rPr>
          <w:sz w:val="24"/>
          <w:szCs w:val="24"/>
        </w:rPr>
        <w:lastRenderedPageBreak/>
        <w:t xml:space="preserve">Art. </w:t>
      </w:r>
      <w:r>
        <w:rPr>
          <w:sz w:val="24"/>
          <w:szCs w:val="24"/>
        </w:rPr>
        <w:t>3</w:t>
      </w:r>
      <w:r w:rsidRPr="004301CE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Os arts. </w:t>
      </w:r>
      <w:r w:rsidR="00006728">
        <w:rPr>
          <w:sz w:val="24"/>
          <w:szCs w:val="24"/>
        </w:rPr>
        <w:t>5º</w:t>
      </w:r>
      <w:r w:rsidR="00E136D8">
        <w:rPr>
          <w:sz w:val="24"/>
          <w:szCs w:val="24"/>
        </w:rPr>
        <w:t>, 6º,</w:t>
      </w:r>
      <w:r w:rsidR="002B0F59">
        <w:rPr>
          <w:sz w:val="24"/>
          <w:szCs w:val="24"/>
        </w:rPr>
        <w:t xml:space="preserve"> 7º</w:t>
      </w:r>
      <w:r w:rsidR="000929C1">
        <w:rPr>
          <w:sz w:val="24"/>
          <w:szCs w:val="24"/>
        </w:rPr>
        <w:t>,</w:t>
      </w:r>
      <w:r w:rsidR="002B0F59">
        <w:rPr>
          <w:sz w:val="24"/>
          <w:szCs w:val="24"/>
        </w:rPr>
        <w:t xml:space="preserve"> 9º</w:t>
      </w:r>
      <w:r>
        <w:rPr>
          <w:sz w:val="24"/>
          <w:szCs w:val="24"/>
        </w:rPr>
        <w:t xml:space="preserve"> </w:t>
      </w:r>
      <w:r w:rsidR="000929C1" w:rsidRPr="00805983">
        <w:rPr>
          <w:sz w:val="24"/>
          <w:szCs w:val="24"/>
        </w:rPr>
        <w:t xml:space="preserve">e o </w:t>
      </w:r>
      <w:r w:rsidR="00805983" w:rsidRPr="00805983">
        <w:rPr>
          <w:sz w:val="24"/>
          <w:szCs w:val="24"/>
        </w:rPr>
        <w:t>§ 1º</w:t>
      </w:r>
      <w:r w:rsidR="000F64E6" w:rsidRPr="00805983">
        <w:rPr>
          <w:sz w:val="24"/>
          <w:szCs w:val="24"/>
        </w:rPr>
        <w:t xml:space="preserve"> </w:t>
      </w:r>
      <w:r w:rsidR="000929C1" w:rsidRPr="00805983">
        <w:rPr>
          <w:sz w:val="24"/>
          <w:szCs w:val="24"/>
        </w:rPr>
        <w:t>do art. 10</w:t>
      </w:r>
      <w:r w:rsidR="00F8145B">
        <w:rPr>
          <w:sz w:val="24"/>
          <w:szCs w:val="24"/>
        </w:rPr>
        <w:t>,</w:t>
      </w:r>
      <w:r w:rsidR="000F6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4301CE">
        <w:rPr>
          <w:sz w:val="24"/>
          <w:szCs w:val="24"/>
        </w:rPr>
        <w:t>Resolução CFC n</w:t>
      </w:r>
      <w:r>
        <w:rPr>
          <w:sz w:val="24"/>
          <w:szCs w:val="24"/>
        </w:rPr>
        <w:t>.</w:t>
      </w:r>
      <w:r w:rsidRPr="004301CE">
        <w:rPr>
          <w:sz w:val="24"/>
          <w:szCs w:val="24"/>
        </w:rPr>
        <w:t>º 750/93</w:t>
      </w:r>
      <w:r w:rsidR="000F64E6">
        <w:rPr>
          <w:sz w:val="24"/>
          <w:szCs w:val="24"/>
        </w:rPr>
        <w:t>,</w:t>
      </w:r>
      <w:r>
        <w:rPr>
          <w:sz w:val="24"/>
          <w:szCs w:val="24"/>
        </w:rPr>
        <w:t xml:space="preserve"> passa</w:t>
      </w:r>
      <w:r w:rsidR="0043032E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43032E">
        <w:rPr>
          <w:sz w:val="24"/>
          <w:szCs w:val="24"/>
        </w:rPr>
        <w:t xml:space="preserve">a </w:t>
      </w:r>
      <w:r>
        <w:rPr>
          <w:sz w:val="24"/>
          <w:szCs w:val="24"/>
        </w:rPr>
        <w:t>vigorar com a</w:t>
      </w:r>
      <w:r w:rsidR="00CA3907">
        <w:rPr>
          <w:sz w:val="24"/>
          <w:szCs w:val="24"/>
        </w:rPr>
        <w:t>s</w:t>
      </w:r>
      <w:r>
        <w:rPr>
          <w:sz w:val="24"/>
          <w:szCs w:val="24"/>
        </w:rPr>
        <w:t xml:space="preserve"> seguinte</w:t>
      </w:r>
      <w:r w:rsidR="00CA3907">
        <w:rPr>
          <w:sz w:val="24"/>
          <w:szCs w:val="24"/>
        </w:rPr>
        <w:t>s</w:t>
      </w:r>
      <w:r>
        <w:rPr>
          <w:sz w:val="24"/>
          <w:szCs w:val="24"/>
        </w:rPr>
        <w:t xml:space="preserve"> redaç</w:t>
      </w:r>
      <w:r w:rsidR="00CA3907">
        <w:rPr>
          <w:sz w:val="24"/>
          <w:szCs w:val="24"/>
        </w:rPr>
        <w:t>ões</w:t>
      </w:r>
      <w:r>
        <w:rPr>
          <w:sz w:val="24"/>
          <w:szCs w:val="24"/>
        </w:rPr>
        <w:t>:</w:t>
      </w:r>
      <w:r w:rsidRPr="004301CE">
        <w:rPr>
          <w:b/>
          <w:sz w:val="24"/>
          <w:szCs w:val="24"/>
        </w:rPr>
        <w:t xml:space="preserve"> </w:t>
      </w:r>
    </w:p>
    <w:p w:rsidR="00292535" w:rsidRPr="004301CE" w:rsidRDefault="00292535">
      <w:pPr>
        <w:ind w:firstLine="2268"/>
        <w:jc w:val="both"/>
        <w:rPr>
          <w:sz w:val="24"/>
          <w:szCs w:val="24"/>
        </w:rPr>
      </w:pPr>
    </w:p>
    <w:p w:rsidR="005D6156" w:rsidRPr="004301CE" w:rsidRDefault="00FE70F6" w:rsidP="00153719">
      <w:pPr>
        <w:ind w:left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“Art. </w:t>
      </w:r>
      <w:r w:rsidR="00292535" w:rsidRPr="004301CE">
        <w:rPr>
          <w:bCs/>
          <w:sz w:val="24"/>
          <w:szCs w:val="24"/>
        </w:rPr>
        <w:t>5º</w:t>
      </w:r>
      <w:r w:rsidR="0015490A" w:rsidRPr="004301CE">
        <w:rPr>
          <w:sz w:val="24"/>
          <w:szCs w:val="24"/>
        </w:rPr>
        <w:t xml:space="preserve"> </w:t>
      </w:r>
      <w:r w:rsidR="0066508C" w:rsidRPr="004301CE">
        <w:rPr>
          <w:sz w:val="24"/>
          <w:szCs w:val="24"/>
        </w:rPr>
        <w:t>O Princípio da</w:t>
      </w:r>
      <w:r w:rsidR="0015490A" w:rsidRPr="004301CE">
        <w:rPr>
          <w:sz w:val="24"/>
          <w:szCs w:val="24"/>
        </w:rPr>
        <w:t xml:space="preserve"> C</w:t>
      </w:r>
      <w:r w:rsidR="00456054" w:rsidRPr="004301CE">
        <w:rPr>
          <w:sz w:val="24"/>
          <w:szCs w:val="24"/>
        </w:rPr>
        <w:t>ontinuidade</w:t>
      </w:r>
      <w:r w:rsidR="0015490A" w:rsidRPr="004301CE">
        <w:rPr>
          <w:sz w:val="24"/>
          <w:szCs w:val="24"/>
        </w:rPr>
        <w:t xml:space="preserve"> pressupõe</w:t>
      </w:r>
      <w:r w:rsidR="002704CB" w:rsidRPr="004301CE">
        <w:rPr>
          <w:sz w:val="24"/>
          <w:szCs w:val="24"/>
        </w:rPr>
        <w:t xml:space="preserve"> </w:t>
      </w:r>
      <w:r w:rsidR="00607242" w:rsidRPr="004301CE">
        <w:rPr>
          <w:sz w:val="24"/>
          <w:szCs w:val="24"/>
        </w:rPr>
        <w:t xml:space="preserve">que a </w:t>
      </w:r>
      <w:r w:rsidR="000142DF" w:rsidRPr="004301CE">
        <w:rPr>
          <w:sz w:val="24"/>
          <w:szCs w:val="24"/>
        </w:rPr>
        <w:t>E</w:t>
      </w:r>
      <w:r w:rsidR="00607242" w:rsidRPr="004301CE">
        <w:rPr>
          <w:sz w:val="24"/>
          <w:szCs w:val="24"/>
        </w:rPr>
        <w:t>ntidade continuará em operação no futuro</w:t>
      </w:r>
      <w:r w:rsidR="000142DF" w:rsidRPr="004301CE">
        <w:rPr>
          <w:sz w:val="24"/>
          <w:szCs w:val="24"/>
        </w:rPr>
        <w:t xml:space="preserve"> e, portanto, a</w:t>
      </w:r>
      <w:r w:rsidR="005D6156" w:rsidRPr="004301CE">
        <w:rPr>
          <w:sz w:val="24"/>
          <w:szCs w:val="24"/>
        </w:rPr>
        <w:t xml:space="preserve"> mensuração e </w:t>
      </w:r>
      <w:r w:rsidR="00214FDA" w:rsidRPr="004301CE">
        <w:rPr>
          <w:sz w:val="24"/>
          <w:szCs w:val="24"/>
        </w:rPr>
        <w:t xml:space="preserve">a </w:t>
      </w:r>
      <w:r w:rsidR="005D6156" w:rsidRPr="004301CE">
        <w:rPr>
          <w:sz w:val="24"/>
          <w:szCs w:val="24"/>
        </w:rPr>
        <w:t xml:space="preserve">apresentação dos componentes do patrimônio </w:t>
      </w:r>
      <w:r w:rsidR="000142DF" w:rsidRPr="004301CE">
        <w:rPr>
          <w:sz w:val="24"/>
          <w:szCs w:val="24"/>
        </w:rPr>
        <w:t>levam em conta</w:t>
      </w:r>
      <w:r w:rsidR="005D6156" w:rsidRPr="004301CE">
        <w:rPr>
          <w:sz w:val="24"/>
          <w:szCs w:val="24"/>
        </w:rPr>
        <w:t xml:space="preserve"> </w:t>
      </w:r>
      <w:r w:rsidR="000142DF" w:rsidRPr="004301CE">
        <w:rPr>
          <w:sz w:val="24"/>
          <w:szCs w:val="24"/>
        </w:rPr>
        <w:t xml:space="preserve">esta </w:t>
      </w:r>
      <w:r w:rsidR="0043032E">
        <w:rPr>
          <w:sz w:val="24"/>
          <w:szCs w:val="24"/>
        </w:rPr>
        <w:t>circunstância.</w:t>
      </w:r>
    </w:p>
    <w:p w:rsidR="00AF799E" w:rsidRDefault="00AF799E" w:rsidP="00AF799E">
      <w:pPr>
        <w:ind w:firstLine="2268"/>
        <w:jc w:val="both"/>
        <w:rPr>
          <w:sz w:val="24"/>
          <w:szCs w:val="24"/>
        </w:rPr>
      </w:pPr>
    </w:p>
    <w:p w:rsidR="00292535" w:rsidRPr="004301CE" w:rsidRDefault="00292535" w:rsidP="00153719">
      <w:pPr>
        <w:ind w:left="567"/>
        <w:jc w:val="both"/>
        <w:rPr>
          <w:sz w:val="24"/>
          <w:szCs w:val="24"/>
        </w:rPr>
      </w:pPr>
      <w:r w:rsidRPr="004301CE">
        <w:rPr>
          <w:bCs/>
          <w:sz w:val="24"/>
          <w:szCs w:val="24"/>
        </w:rPr>
        <w:t>Art. 6º</w:t>
      </w:r>
      <w:r w:rsidRPr="004301CE">
        <w:rPr>
          <w:sz w:val="24"/>
          <w:szCs w:val="24"/>
        </w:rPr>
        <w:t xml:space="preserve"> O Princípio da O</w:t>
      </w:r>
      <w:r w:rsidR="00456054" w:rsidRPr="004301CE">
        <w:rPr>
          <w:sz w:val="24"/>
          <w:szCs w:val="24"/>
        </w:rPr>
        <w:t>portunidade</w:t>
      </w:r>
      <w:r w:rsidRPr="004301CE">
        <w:rPr>
          <w:sz w:val="24"/>
          <w:szCs w:val="24"/>
        </w:rPr>
        <w:t xml:space="preserve"> refere-se </w:t>
      </w:r>
      <w:r w:rsidR="00D765B2" w:rsidRPr="004301CE">
        <w:rPr>
          <w:sz w:val="24"/>
          <w:szCs w:val="24"/>
        </w:rPr>
        <w:t>ao processo de</w:t>
      </w:r>
      <w:r w:rsidR="00AA689C" w:rsidRPr="004301CE">
        <w:rPr>
          <w:sz w:val="24"/>
          <w:szCs w:val="24"/>
        </w:rPr>
        <w:t xml:space="preserve"> mensuração e apresentação dos componentes patrimoniais </w:t>
      </w:r>
      <w:r w:rsidR="00276392" w:rsidRPr="004301CE">
        <w:rPr>
          <w:sz w:val="24"/>
          <w:szCs w:val="24"/>
        </w:rPr>
        <w:t>para produzir informações</w:t>
      </w:r>
      <w:r w:rsidR="00A46A8E" w:rsidRPr="004301CE">
        <w:rPr>
          <w:sz w:val="24"/>
          <w:szCs w:val="24"/>
        </w:rPr>
        <w:t xml:space="preserve"> </w:t>
      </w:r>
      <w:r w:rsidR="00B11113" w:rsidRPr="004301CE">
        <w:rPr>
          <w:sz w:val="24"/>
          <w:szCs w:val="24"/>
        </w:rPr>
        <w:t>íntegras e tempestivas</w:t>
      </w:r>
      <w:r w:rsidR="00A46A8E" w:rsidRPr="004301CE">
        <w:rPr>
          <w:sz w:val="24"/>
          <w:szCs w:val="24"/>
        </w:rPr>
        <w:t>.</w:t>
      </w:r>
    </w:p>
    <w:p w:rsidR="00292535" w:rsidRPr="004301CE" w:rsidRDefault="0027021D">
      <w:pPr>
        <w:ind w:firstLine="2268"/>
        <w:jc w:val="both"/>
        <w:rPr>
          <w:sz w:val="24"/>
          <w:szCs w:val="24"/>
        </w:rPr>
      </w:pPr>
      <w:r w:rsidRPr="004301CE">
        <w:rPr>
          <w:sz w:val="24"/>
          <w:szCs w:val="24"/>
        </w:rPr>
        <w:t xml:space="preserve">     </w:t>
      </w:r>
      <w:r w:rsidR="003A5862" w:rsidRPr="004301CE">
        <w:rPr>
          <w:sz w:val="24"/>
          <w:szCs w:val="24"/>
        </w:rPr>
        <w:t xml:space="preserve">      </w:t>
      </w:r>
    </w:p>
    <w:p w:rsidR="00292535" w:rsidRPr="004301CE" w:rsidRDefault="00292535" w:rsidP="00153719">
      <w:pPr>
        <w:ind w:left="567"/>
        <w:jc w:val="both"/>
        <w:rPr>
          <w:sz w:val="24"/>
          <w:szCs w:val="24"/>
        </w:rPr>
      </w:pPr>
      <w:r w:rsidRPr="004301CE">
        <w:rPr>
          <w:bCs/>
          <w:sz w:val="24"/>
          <w:szCs w:val="24"/>
        </w:rPr>
        <w:t>Parágrafo único</w:t>
      </w:r>
      <w:r w:rsidR="00630E37" w:rsidRPr="004301CE">
        <w:rPr>
          <w:bCs/>
          <w:sz w:val="24"/>
          <w:szCs w:val="24"/>
        </w:rPr>
        <w:t>.</w:t>
      </w:r>
      <w:r w:rsidR="0034285A" w:rsidRPr="004301CE">
        <w:rPr>
          <w:sz w:val="24"/>
          <w:szCs w:val="24"/>
        </w:rPr>
        <w:t xml:space="preserve"> </w:t>
      </w:r>
      <w:r w:rsidR="007637A2" w:rsidRPr="004301CE">
        <w:rPr>
          <w:sz w:val="24"/>
          <w:szCs w:val="24"/>
        </w:rPr>
        <w:t>A falta d</w:t>
      </w:r>
      <w:r w:rsidR="00D765B2" w:rsidRPr="004301CE">
        <w:rPr>
          <w:sz w:val="24"/>
          <w:szCs w:val="24"/>
        </w:rPr>
        <w:t xml:space="preserve">e integridade e </w:t>
      </w:r>
      <w:r w:rsidR="007637A2" w:rsidRPr="004301CE">
        <w:rPr>
          <w:sz w:val="24"/>
          <w:szCs w:val="24"/>
        </w:rPr>
        <w:t>tempestividade</w:t>
      </w:r>
      <w:r w:rsidR="0034285A" w:rsidRPr="004301CE">
        <w:rPr>
          <w:sz w:val="24"/>
          <w:szCs w:val="24"/>
        </w:rPr>
        <w:t xml:space="preserve"> na produção </w:t>
      </w:r>
      <w:r w:rsidR="00B11113" w:rsidRPr="004301CE">
        <w:rPr>
          <w:sz w:val="24"/>
          <w:szCs w:val="24"/>
        </w:rPr>
        <w:t xml:space="preserve">e </w:t>
      </w:r>
      <w:r w:rsidR="009D743A">
        <w:rPr>
          <w:sz w:val="24"/>
          <w:szCs w:val="24"/>
        </w:rPr>
        <w:t xml:space="preserve">na </w:t>
      </w:r>
      <w:r w:rsidR="00B11113" w:rsidRPr="004301CE">
        <w:rPr>
          <w:sz w:val="24"/>
          <w:szCs w:val="24"/>
        </w:rPr>
        <w:t xml:space="preserve">divulgação </w:t>
      </w:r>
      <w:r w:rsidR="0034285A" w:rsidRPr="004301CE">
        <w:rPr>
          <w:sz w:val="24"/>
          <w:szCs w:val="24"/>
        </w:rPr>
        <w:t>da informação</w:t>
      </w:r>
      <w:r w:rsidR="00B36416" w:rsidRPr="004301CE">
        <w:rPr>
          <w:sz w:val="24"/>
          <w:szCs w:val="24"/>
        </w:rPr>
        <w:t xml:space="preserve"> contábil</w:t>
      </w:r>
      <w:r w:rsidR="0034285A" w:rsidRPr="004301CE">
        <w:rPr>
          <w:sz w:val="24"/>
          <w:szCs w:val="24"/>
        </w:rPr>
        <w:t xml:space="preserve"> </w:t>
      </w:r>
      <w:r w:rsidR="007637A2" w:rsidRPr="004301CE">
        <w:rPr>
          <w:sz w:val="24"/>
          <w:szCs w:val="24"/>
        </w:rPr>
        <w:t>pode ocasionar a perd</w:t>
      </w:r>
      <w:r w:rsidR="0034285A" w:rsidRPr="004301CE">
        <w:rPr>
          <w:sz w:val="24"/>
          <w:szCs w:val="24"/>
        </w:rPr>
        <w:t xml:space="preserve">a </w:t>
      </w:r>
      <w:r w:rsidR="007637A2" w:rsidRPr="004301CE">
        <w:rPr>
          <w:sz w:val="24"/>
          <w:szCs w:val="24"/>
        </w:rPr>
        <w:t xml:space="preserve">de </w:t>
      </w:r>
      <w:r w:rsidR="0034285A" w:rsidRPr="004301CE">
        <w:rPr>
          <w:sz w:val="24"/>
          <w:szCs w:val="24"/>
        </w:rPr>
        <w:t>sua relevância</w:t>
      </w:r>
      <w:r w:rsidR="00780B3D" w:rsidRPr="004301CE">
        <w:rPr>
          <w:sz w:val="24"/>
          <w:szCs w:val="24"/>
        </w:rPr>
        <w:t xml:space="preserve">, </w:t>
      </w:r>
      <w:r w:rsidR="00D765B2" w:rsidRPr="004301CE">
        <w:rPr>
          <w:sz w:val="24"/>
          <w:szCs w:val="24"/>
        </w:rPr>
        <w:t>por isso</w:t>
      </w:r>
      <w:r w:rsidR="007637A2" w:rsidRPr="004301CE">
        <w:rPr>
          <w:sz w:val="24"/>
          <w:szCs w:val="24"/>
        </w:rPr>
        <w:t xml:space="preserve"> </w:t>
      </w:r>
      <w:r w:rsidR="0034285A" w:rsidRPr="004301CE">
        <w:rPr>
          <w:sz w:val="24"/>
          <w:szCs w:val="24"/>
        </w:rPr>
        <w:t xml:space="preserve">é necessário ponderar a relação entre a </w:t>
      </w:r>
      <w:r w:rsidR="007637A2" w:rsidRPr="004301CE">
        <w:rPr>
          <w:sz w:val="24"/>
          <w:szCs w:val="24"/>
        </w:rPr>
        <w:t>oportunidade</w:t>
      </w:r>
      <w:r w:rsidR="0034285A" w:rsidRPr="004301CE">
        <w:rPr>
          <w:sz w:val="24"/>
          <w:szCs w:val="24"/>
        </w:rPr>
        <w:t xml:space="preserve"> e </w:t>
      </w:r>
      <w:r w:rsidR="007637A2" w:rsidRPr="004301CE">
        <w:rPr>
          <w:sz w:val="24"/>
          <w:szCs w:val="24"/>
        </w:rPr>
        <w:t xml:space="preserve">a </w:t>
      </w:r>
      <w:r w:rsidR="0034285A" w:rsidRPr="004301CE">
        <w:rPr>
          <w:sz w:val="24"/>
          <w:szCs w:val="24"/>
        </w:rPr>
        <w:t>confiabilidade da informação</w:t>
      </w:r>
      <w:r w:rsidR="0034285A" w:rsidRPr="00337263">
        <w:rPr>
          <w:sz w:val="24"/>
          <w:szCs w:val="24"/>
        </w:rPr>
        <w:t>.</w:t>
      </w:r>
    </w:p>
    <w:p w:rsidR="00AF799E" w:rsidRDefault="00AF799E" w:rsidP="00AF799E">
      <w:pPr>
        <w:ind w:firstLine="2268"/>
        <w:jc w:val="both"/>
        <w:rPr>
          <w:sz w:val="24"/>
          <w:szCs w:val="24"/>
        </w:rPr>
      </w:pPr>
    </w:p>
    <w:p w:rsidR="00292535" w:rsidRPr="004301CE" w:rsidRDefault="00292535" w:rsidP="00153719">
      <w:pPr>
        <w:ind w:left="567"/>
        <w:jc w:val="both"/>
        <w:rPr>
          <w:i/>
          <w:sz w:val="24"/>
          <w:szCs w:val="24"/>
        </w:rPr>
      </w:pPr>
      <w:r w:rsidRPr="004301CE">
        <w:rPr>
          <w:bCs/>
          <w:sz w:val="24"/>
          <w:szCs w:val="24"/>
        </w:rPr>
        <w:t>Art. 7º</w:t>
      </w:r>
      <w:r w:rsidR="00087674" w:rsidRPr="004301CE">
        <w:rPr>
          <w:sz w:val="24"/>
          <w:szCs w:val="24"/>
        </w:rPr>
        <w:t xml:space="preserve"> </w:t>
      </w:r>
      <w:r w:rsidR="0066508C" w:rsidRPr="004301CE">
        <w:rPr>
          <w:sz w:val="24"/>
          <w:szCs w:val="24"/>
        </w:rPr>
        <w:t xml:space="preserve">O Princípio do </w:t>
      </w:r>
      <w:r w:rsidR="00B11113" w:rsidRPr="004301CE">
        <w:rPr>
          <w:sz w:val="24"/>
          <w:szCs w:val="24"/>
        </w:rPr>
        <w:t xml:space="preserve">Registro pelo Valor Original </w:t>
      </w:r>
      <w:r w:rsidR="004D5D8A" w:rsidRPr="004301CE">
        <w:rPr>
          <w:sz w:val="24"/>
          <w:szCs w:val="24"/>
        </w:rPr>
        <w:t>determina</w:t>
      </w:r>
      <w:r w:rsidR="0066508C" w:rsidRPr="004301CE">
        <w:rPr>
          <w:sz w:val="24"/>
          <w:szCs w:val="24"/>
        </w:rPr>
        <w:t xml:space="preserve"> que o</w:t>
      </w:r>
      <w:r w:rsidR="00087674" w:rsidRPr="004301CE">
        <w:rPr>
          <w:sz w:val="24"/>
          <w:szCs w:val="24"/>
        </w:rPr>
        <w:t>s componentes do patrimônio devem ser</w:t>
      </w:r>
      <w:r w:rsidR="006E75FD" w:rsidRPr="004301CE">
        <w:rPr>
          <w:sz w:val="24"/>
          <w:szCs w:val="24"/>
        </w:rPr>
        <w:t xml:space="preserve"> inicialmente</w:t>
      </w:r>
      <w:r w:rsidR="00087674" w:rsidRPr="004301CE">
        <w:rPr>
          <w:sz w:val="24"/>
          <w:szCs w:val="24"/>
        </w:rPr>
        <w:t xml:space="preserve"> registrados pelos valores originais das transações, expressos </w:t>
      </w:r>
      <w:r w:rsidR="006E75FD" w:rsidRPr="004301CE">
        <w:rPr>
          <w:sz w:val="24"/>
          <w:szCs w:val="24"/>
        </w:rPr>
        <w:t>em</w:t>
      </w:r>
      <w:r w:rsidR="00087674" w:rsidRPr="004301CE">
        <w:rPr>
          <w:sz w:val="24"/>
          <w:szCs w:val="24"/>
        </w:rPr>
        <w:t xml:space="preserve"> moeda </w:t>
      </w:r>
      <w:r w:rsidR="006E75FD" w:rsidRPr="004301CE">
        <w:rPr>
          <w:sz w:val="24"/>
          <w:szCs w:val="24"/>
        </w:rPr>
        <w:t>nacional</w:t>
      </w:r>
      <w:r w:rsidR="00087674" w:rsidRPr="004301CE">
        <w:rPr>
          <w:sz w:val="24"/>
          <w:szCs w:val="24"/>
        </w:rPr>
        <w:t>.</w:t>
      </w:r>
    </w:p>
    <w:p w:rsidR="00B32B8D" w:rsidRPr="004301CE" w:rsidRDefault="00890F9A">
      <w:pPr>
        <w:ind w:firstLine="2268"/>
        <w:jc w:val="both"/>
        <w:rPr>
          <w:sz w:val="24"/>
          <w:szCs w:val="24"/>
        </w:rPr>
      </w:pPr>
      <w:r w:rsidRPr="004301CE">
        <w:rPr>
          <w:sz w:val="24"/>
          <w:szCs w:val="24"/>
        </w:rPr>
        <w:t xml:space="preserve">  </w:t>
      </w:r>
    </w:p>
    <w:p w:rsidR="00292535" w:rsidRPr="002B0F59" w:rsidRDefault="00425D0F" w:rsidP="002B0F59">
      <w:pPr>
        <w:ind w:left="567"/>
        <w:jc w:val="both"/>
        <w:rPr>
          <w:bCs/>
          <w:sz w:val="24"/>
          <w:szCs w:val="24"/>
        </w:rPr>
      </w:pPr>
      <w:r w:rsidRPr="004301CE">
        <w:rPr>
          <w:sz w:val="24"/>
          <w:szCs w:val="24"/>
        </w:rPr>
        <w:t xml:space="preserve">§ </w:t>
      </w:r>
      <w:r w:rsidRPr="002B0F59">
        <w:rPr>
          <w:bCs/>
          <w:sz w:val="24"/>
          <w:szCs w:val="24"/>
        </w:rPr>
        <w:t xml:space="preserve">1º </w:t>
      </w:r>
      <w:r w:rsidR="00087674" w:rsidRPr="002B0F59">
        <w:rPr>
          <w:bCs/>
          <w:sz w:val="24"/>
          <w:szCs w:val="24"/>
        </w:rPr>
        <w:t>A</w:t>
      </w:r>
      <w:r w:rsidR="00B32B8D" w:rsidRPr="002B0F59">
        <w:rPr>
          <w:bCs/>
          <w:sz w:val="24"/>
          <w:szCs w:val="24"/>
        </w:rPr>
        <w:t>s seguintes bases de mensuração</w:t>
      </w:r>
      <w:r w:rsidR="00087674" w:rsidRPr="002B0F59">
        <w:rPr>
          <w:bCs/>
          <w:sz w:val="24"/>
          <w:szCs w:val="24"/>
        </w:rPr>
        <w:t xml:space="preserve"> deve</w:t>
      </w:r>
      <w:r w:rsidR="006E75FD" w:rsidRPr="002B0F59">
        <w:rPr>
          <w:bCs/>
          <w:sz w:val="24"/>
          <w:szCs w:val="24"/>
        </w:rPr>
        <w:t>m</w:t>
      </w:r>
      <w:r w:rsidR="00087674" w:rsidRPr="002B0F59">
        <w:rPr>
          <w:bCs/>
          <w:sz w:val="24"/>
          <w:szCs w:val="24"/>
        </w:rPr>
        <w:t xml:space="preserve"> ser</w:t>
      </w:r>
      <w:r w:rsidR="00453E6C" w:rsidRPr="002B0F59">
        <w:rPr>
          <w:bCs/>
          <w:sz w:val="24"/>
          <w:szCs w:val="24"/>
        </w:rPr>
        <w:t xml:space="preserve"> utilizadas em graus distintos e combinadas</w:t>
      </w:r>
      <w:r w:rsidR="006E75FD" w:rsidRPr="002B0F59">
        <w:rPr>
          <w:bCs/>
          <w:sz w:val="24"/>
          <w:szCs w:val="24"/>
        </w:rPr>
        <w:t>,</w:t>
      </w:r>
      <w:r w:rsidR="00453E6C" w:rsidRPr="002B0F59">
        <w:rPr>
          <w:bCs/>
          <w:sz w:val="24"/>
          <w:szCs w:val="24"/>
        </w:rPr>
        <w:t xml:space="preserve"> </w:t>
      </w:r>
      <w:r w:rsidR="006E75FD" w:rsidRPr="002B0F59">
        <w:rPr>
          <w:bCs/>
          <w:sz w:val="24"/>
          <w:szCs w:val="24"/>
        </w:rPr>
        <w:t xml:space="preserve">ao longo do tempo, </w:t>
      </w:r>
      <w:r w:rsidR="00453E6C" w:rsidRPr="002B0F59">
        <w:rPr>
          <w:bCs/>
          <w:sz w:val="24"/>
          <w:szCs w:val="24"/>
        </w:rPr>
        <w:t>de diferentes formas:</w:t>
      </w: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 xml:space="preserve">I – </w:t>
      </w:r>
      <w:r w:rsidR="008F4775" w:rsidRPr="002B0F59">
        <w:rPr>
          <w:bCs/>
          <w:sz w:val="24"/>
          <w:szCs w:val="24"/>
        </w:rPr>
        <w:t>Custo histórico. Os ativos são registrados pelos valores pagos ou a serem pagos em caixa ou equivalentes de caixa o</w:t>
      </w:r>
      <w:r w:rsidR="00107ADA" w:rsidRPr="002B0F59">
        <w:rPr>
          <w:bCs/>
          <w:sz w:val="24"/>
          <w:szCs w:val="24"/>
        </w:rPr>
        <w:t xml:space="preserve">u pelo valor justo dos recursos </w:t>
      </w:r>
      <w:r w:rsidR="008F4775" w:rsidRPr="002B0F59">
        <w:rPr>
          <w:bCs/>
          <w:sz w:val="24"/>
          <w:szCs w:val="24"/>
        </w:rPr>
        <w:t xml:space="preserve">que são entregues para adquiri-los na data da </w:t>
      </w:r>
      <w:r w:rsidR="00CF4EE7" w:rsidRPr="002B0F59">
        <w:rPr>
          <w:bCs/>
          <w:sz w:val="24"/>
          <w:szCs w:val="24"/>
        </w:rPr>
        <w:t xml:space="preserve">aquisição. </w:t>
      </w:r>
      <w:r w:rsidR="008F4775" w:rsidRPr="002B0F59">
        <w:rPr>
          <w:bCs/>
          <w:sz w:val="24"/>
          <w:szCs w:val="24"/>
        </w:rPr>
        <w:t>Os passivos são registrados pelos valores dos recursos que foram recebidos em troca da obrigação ou, em algumas circunstâncias</w:t>
      </w:r>
      <w:r w:rsidR="00CF4EE7" w:rsidRPr="002B0F59">
        <w:rPr>
          <w:bCs/>
          <w:sz w:val="24"/>
          <w:szCs w:val="24"/>
        </w:rPr>
        <w:t>,</w:t>
      </w:r>
      <w:r w:rsidR="008F4775" w:rsidRPr="002B0F59">
        <w:rPr>
          <w:bCs/>
          <w:sz w:val="24"/>
          <w:szCs w:val="24"/>
        </w:rPr>
        <w:t xml:space="preserve"> pelos valores em caixa ou equivalentes de caixa</w:t>
      </w:r>
      <w:r w:rsidR="00B6636B" w:rsidRPr="002B0F59">
        <w:rPr>
          <w:bCs/>
          <w:sz w:val="24"/>
          <w:szCs w:val="24"/>
        </w:rPr>
        <w:t>, os quais</w:t>
      </w:r>
      <w:r w:rsidR="008F4775" w:rsidRPr="002B0F59">
        <w:rPr>
          <w:bCs/>
          <w:sz w:val="24"/>
          <w:szCs w:val="24"/>
        </w:rPr>
        <w:t xml:space="preserve"> serão necessários para liquidar o passivo no curso normal das operações</w:t>
      </w:r>
      <w:r w:rsidR="00E24776" w:rsidRPr="002B0F59">
        <w:rPr>
          <w:bCs/>
          <w:sz w:val="24"/>
          <w:szCs w:val="24"/>
        </w:rPr>
        <w:t>; e</w:t>
      </w:r>
    </w:p>
    <w:p w:rsidR="00A97CD3" w:rsidRPr="002B0F59" w:rsidRDefault="00A97CD3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087674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II – Variação do custo histórico</w:t>
      </w:r>
      <w:r w:rsidR="00B11113" w:rsidRPr="002B0F59">
        <w:rPr>
          <w:bCs/>
          <w:sz w:val="24"/>
          <w:szCs w:val="24"/>
        </w:rPr>
        <w:t>.</w:t>
      </w:r>
      <w:r w:rsidRPr="002B0F59">
        <w:rPr>
          <w:bCs/>
          <w:sz w:val="24"/>
          <w:szCs w:val="24"/>
        </w:rPr>
        <w:t xml:space="preserve"> Uma vez integrado ao patrimônio, os componentes patrimoniais, ativos e passivos, pode</w:t>
      </w:r>
      <w:r w:rsidR="004E79D8" w:rsidRPr="002B0F59">
        <w:rPr>
          <w:bCs/>
          <w:sz w:val="24"/>
          <w:szCs w:val="24"/>
        </w:rPr>
        <w:t>m</w:t>
      </w:r>
      <w:r w:rsidRPr="002B0F59">
        <w:rPr>
          <w:bCs/>
          <w:sz w:val="24"/>
          <w:szCs w:val="24"/>
        </w:rPr>
        <w:t xml:space="preserve"> sofrer variações decorrentes dos seguintes fatores:</w:t>
      </w:r>
      <w:r w:rsidR="003910BA" w:rsidRPr="002B0F59">
        <w:rPr>
          <w:bCs/>
          <w:sz w:val="24"/>
          <w:szCs w:val="24"/>
        </w:rPr>
        <w:t xml:space="preserve">    </w:t>
      </w:r>
      <w:r w:rsidR="008D67BF" w:rsidRPr="002B0F59">
        <w:rPr>
          <w:bCs/>
          <w:sz w:val="24"/>
          <w:szCs w:val="24"/>
        </w:rPr>
        <w:t xml:space="preserve"> </w:t>
      </w:r>
    </w:p>
    <w:p w:rsidR="00A97CD3" w:rsidRPr="002B0F59" w:rsidRDefault="00A97CD3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087674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a)</w:t>
      </w:r>
      <w:r w:rsidR="00292535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 xml:space="preserve">Custo </w:t>
      </w:r>
      <w:r w:rsidR="009D743A" w:rsidRPr="002B0F59">
        <w:rPr>
          <w:bCs/>
          <w:sz w:val="24"/>
          <w:szCs w:val="24"/>
        </w:rPr>
        <w:t>c</w:t>
      </w:r>
      <w:r w:rsidR="008F4775" w:rsidRPr="002B0F59">
        <w:rPr>
          <w:bCs/>
          <w:sz w:val="24"/>
          <w:szCs w:val="24"/>
        </w:rPr>
        <w:t>orrente. Os ativos são reconhecidos pelos valores em caixa ou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equivalentes de caixa</w:t>
      </w:r>
      <w:r w:rsidR="00B6636B" w:rsidRPr="002B0F59">
        <w:rPr>
          <w:bCs/>
          <w:sz w:val="24"/>
          <w:szCs w:val="24"/>
        </w:rPr>
        <w:t>, os quais</w:t>
      </w:r>
      <w:r w:rsidR="008F4775" w:rsidRPr="002B0F59">
        <w:rPr>
          <w:bCs/>
          <w:sz w:val="24"/>
          <w:szCs w:val="24"/>
        </w:rPr>
        <w:t xml:space="preserve"> teriam de ser</w:t>
      </w:r>
      <w:r w:rsidR="004679F1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pagos se esses ativos ou ativos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equivalen</w:t>
      </w:r>
      <w:r w:rsidR="004D5D8A" w:rsidRPr="002B0F59">
        <w:rPr>
          <w:bCs/>
          <w:sz w:val="24"/>
          <w:szCs w:val="24"/>
        </w:rPr>
        <w:t xml:space="preserve">tes fossem adquiridos na data </w:t>
      </w:r>
      <w:r w:rsidR="00736823" w:rsidRPr="002B0F59">
        <w:rPr>
          <w:bCs/>
          <w:sz w:val="24"/>
          <w:szCs w:val="24"/>
        </w:rPr>
        <w:t xml:space="preserve">ou </w:t>
      </w:r>
      <w:r w:rsidR="009D743A" w:rsidRPr="002B0F59">
        <w:rPr>
          <w:bCs/>
          <w:sz w:val="24"/>
          <w:szCs w:val="24"/>
        </w:rPr>
        <w:t xml:space="preserve">no </w:t>
      </w:r>
      <w:r w:rsidR="00736823" w:rsidRPr="002B0F59">
        <w:rPr>
          <w:bCs/>
          <w:sz w:val="24"/>
          <w:szCs w:val="24"/>
        </w:rPr>
        <w:t xml:space="preserve">período </w:t>
      </w:r>
      <w:r w:rsidR="004D5D8A" w:rsidRPr="002B0F59">
        <w:rPr>
          <w:bCs/>
          <w:sz w:val="24"/>
          <w:szCs w:val="24"/>
        </w:rPr>
        <w:t xml:space="preserve">das </w:t>
      </w:r>
      <w:r w:rsidR="00736823" w:rsidRPr="002B0F59">
        <w:rPr>
          <w:bCs/>
          <w:sz w:val="24"/>
          <w:szCs w:val="24"/>
        </w:rPr>
        <w:t>demonstrações</w:t>
      </w:r>
      <w:r w:rsidR="004D5D8A" w:rsidRPr="002B0F59">
        <w:rPr>
          <w:bCs/>
          <w:sz w:val="24"/>
          <w:szCs w:val="24"/>
        </w:rPr>
        <w:t xml:space="preserve"> contábeis. </w:t>
      </w:r>
      <w:r w:rsidR="008F4775" w:rsidRPr="002B0F59">
        <w:rPr>
          <w:bCs/>
          <w:sz w:val="24"/>
          <w:szCs w:val="24"/>
        </w:rPr>
        <w:t>Os passivos são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reconhecidos pelos valores em caixa ou equivalentes de caixa, não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descontados, que seriam necessários para</w:t>
      </w:r>
      <w:r w:rsidR="00B36416" w:rsidRPr="002B0F59">
        <w:rPr>
          <w:bCs/>
          <w:sz w:val="24"/>
          <w:szCs w:val="24"/>
        </w:rPr>
        <w:t xml:space="preserve"> liquidar a obrigação na data </w:t>
      </w:r>
      <w:r w:rsidR="00736823" w:rsidRPr="002B0F59">
        <w:rPr>
          <w:bCs/>
          <w:sz w:val="24"/>
          <w:szCs w:val="24"/>
        </w:rPr>
        <w:t xml:space="preserve">ou </w:t>
      </w:r>
      <w:r w:rsidR="009D743A" w:rsidRPr="002B0F59">
        <w:rPr>
          <w:bCs/>
          <w:sz w:val="24"/>
          <w:szCs w:val="24"/>
        </w:rPr>
        <w:t xml:space="preserve">no </w:t>
      </w:r>
      <w:r w:rsidR="00736823" w:rsidRPr="002B0F59">
        <w:rPr>
          <w:bCs/>
          <w:sz w:val="24"/>
          <w:szCs w:val="24"/>
        </w:rPr>
        <w:t xml:space="preserve">período </w:t>
      </w:r>
      <w:r w:rsidR="00B36416" w:rsidRPr="002B0F59">
        <w:rPr>
          <w:bCs/>
          <w:sz w:val="24"/>
          <w:szCs w:val="24"/>
        </w:rPr>
        <w:t>d</w:t>
      </w:r>
      <w:r w:rsidR="00AB4D75" w:rsidRPr="002B0F59">
        <w:rPr>
          <w:bCs/>
          <w:sz w:val="24"/>
          <w:szCs w:val="24"/>
        </w:rPr>
        <w:t xml:space="preserve">as </w:t>
      </w:r>
      <w:r w:rsidR="00736823" w:rsidRPr="002B0F59">
        <w:rPr>
          <w:bCs/>
          <w:sz w:val="24"/>
          <w:szCs w:val="24"/>
        </w:rPr>
        <w:t>demonstrações</w:t>
      </w:r>
      <w:r w:rsidR="00AB4D75" w:rsidRPr="002B0F59">
        <w:rPr>
          <w:bCs/>
          <w:sz w:val="24"/>
          <w:szCs w:val="24"/>
        </w:rPr>
        <w:t xml:space="preserve"> contábeis;</w:t>
      </w: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087674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 xml:space="preserve">b) </w:t>
      </w:r>
      <w:r w:rsidR="008F4775" w:rsidRPr="002B0F59">
        <w:rPr>
          <w:bCs/>
          <w:sz w:val="24"/>
          <w:szCs w:val="24"/>
        </w:rPr>
        <w:t>Valor realizável</w:t>
      </w:r>
      <w:r w:rsidR="001B1BB7" w:rsidRPr="002B0F59">
        <w:rPr>
          <w:bCs/>
          <w:sz w:val="24"/>
          <w:szCs w:val="24"/>
        </w:rPr>
        <w:t>.</w:t>
      </w:r>
      <w:r w:rsidR="00350B33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Os ativos são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mantidos pelos valores em caixa ou equivalentes de caixa</w:t>
      </w:r>
      <w:r w:rsidR="00B6636B" w:rsidRPr="002B0F59">
        <w:rPr>
          <w:bCs/>
          <w:sz w:val="24"/>
          <w:szCs w:val="24"/>
        </w:rPr>
        <w:t>, os quais</w:t>
      </w:r>
      <w:r w:rsidR="008F4775" w:rsidRPr="002B0F59">
        <w:rPr>
          <w:bCs/>
          <w:sz w:val="24"/>
          <w:szCs w:val="24"/>
        </w:rPr>
        <w:t xml:space="preserve"> poderiam ser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 xml:space="preserve">obtidos pela venda </w:t>
      </w:r>
      <w:r w:rsidR="00FE70F6">
        <w:rPr>
          <w:bCs/>
          <w:sz w:val="24"/>
          <w:szCs w:val="24"/>
        </w:rPr>
        <w:t xml:space="preserve">em </w:t>
      </w:r>
      <w:r w:rsidR="008F4775" w:rsidRPr="002B0F59">
        <w:rPr>
          <w:bCs/>
          <w:sz w:val="24"/>
          <w:szCs w:val="24"/>
        </w:rPr>
        <w:t>uma forma ordenada. Os passivos são mantidos pelos valores em caixa e equivalentes de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caixa, não descontados, que se espera seriam pagos para liquidar as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correspondentes obrigações no curso n</w:t>
      </w:r>
      <w:r w:rsidR="0054105D" w:rsidRPr="002B0F59">
        <w:rPr>
          <w:bCs/>
          <w:sz w:val="24"/>
          <w:szCs w:val="24"/>
        </w:rPr>
        <w:t>ormal das operações da E</w:t>
      </w:r>
      <w:r w:rsidR="00E24776" w:rsidRPr="002B0F59">
        <w:rPr>
          <w:bCs/>
          <w:sz w:val="24"/>
          <w:szCs w:val="24"/>
        </w:rPr>
        <w:t>ntidade;</w:t>
      </w: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8634CF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 xml:space="preserve">c) </w:t>
      </w:r>
      <w:r w:rsidR="008F4775" w:rsidRPr="002B0F59">
        <w:rPr>
          <w:bCs/>
          <w:sz w:val="24"/>
          <w:szCs w:val="24"/>
        </w:rPr>
        <w:t>Valor presente. Os ativos são mantidos pelo valor presente, descontado do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fluxo futuro de entrada líquida de caixa que se espera seja gerado pelo item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no</w:t>
      </w:r>
      <w:r w:rsidR="00AB4D75" w:rsidRPr="002B0F59">
        <w:rPr>
          <w:bCs/>
          <w:sz w:val="24"/>
          <w:szCs w:val="24"/>
        </w:rPr>
        <w:t xml:space="preserve"> curso normal das operações da E</w:t>
      </w:r>
      <w:r w:rsidR="008F4775" w:rsidRPr="002B0F59">
        <w:rPr>
          <w:bCs/>
          <w:sz w:val="24"/>
          <w:szCs w:val="24"/>
        </w:rPr>
        <w:t>ntidade. Os passivos são mantidos pelo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valor presente, descontado do fluxo futuro de saída líquida de caixa que se</w:t>
      </w:r>
      <w:r w:rsidR="005C222E" w:rsidRPr="002B0F59">
        <w:rPr>
          <w:bCs/>
          <w:sz w:val="24"/>
          <w:szCs w:val="24"/>
        </w:rPr>
        <w:t xml:space="preserve"> </w:t>
      </w:r>
      <w:r w:rsidR="008F4775" w:rsidRPr="002B0F59">
        <w:rPr>
          <w:bCs/>
          <w:sz w:val="24"/>
          <w:szCs w:val="24"/>
        </w:rPr>
        <w:t>espera seja necessário para liquidar o passivo no curso normal das operações</w:t>
      </w:r>
      <w:r w:rsidR="005C222E" w:rsidRPr="002B0F59">
        <w:rPr>
          <w:bCs/>
          <w:sz w:val="24"/>
          <w:szCs w:val="24"/>
        </w:rPr>
        <w:t xml:space="preserve"> </w:t>
      </w:r>
      <w:r w:rsidR="004D5D8A" w:rsidRPr="002B0F59">
        <w:rPr>
          <w:bCs/>
          <w:sz w:val="24"/>
          <w:szCs w:val="24"/>
        </w:rPr>
        <w:t>da E</w:t>
      </w:r>
      <w:r w:rsidR="00E24776" w:rsidRPr="002B0F59">
        <w:rPr>
          <w:bCs/>
          <w:sz w:val="24"/>
          <w:szCs w:val="24"/>
        </w:rPr>
        <w:t>ntidade;</w:t>
      </w:r>
    </w:p>
    <w:p w:rsidR="00A97CD3" w:rsidRPr="002B0F59" w:rsidRDefault="00A97CD3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107ADA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 xml:space="preserve">d) Valor justo. É o valor pelo qual um ativo pode ser trocado, ou um passivo liquidado, entre partes conhecedoras, dispostas a isso, </w:t>
      </w:r>
      <w:r w:rsidR="00FE70F6">
        <w:rPr>
          <w:bCs/>
          <w:sz w:val="24"/>
          <w:szCs w:val="24"/>
        </w:rPr>
        <w:t xml:space="preserve">em </w:t>
      </w:r>
      <w:r w:rsidRPr="002B0F59">
        <w:rPr>
          <w:bCs/>
          <w:sz w:val="24"/>
          <w:szCs w:val="24"/>
        </w:rPr>
        <w:t>u</w:t>
      </w:r>
      <w:r w:rsidR="00E24776" w:rsidRPr="002B0F59">
        <w:rPr>
          <w:bCs/>
          <w:sz w:val="24"/>
          <w:szCs w:val="24"/>
        </w:rPr>
        <w:t>ma transação sem favorecimentos; e</w:t>
      </w:r>
    </w:p>
    <w:p w:rsidR="00630E37" w:rsidRPr="002B0F59" w:rsidRDefault="00630E37" w:rsidP="002B0F59">
      <w:pPr>
        <w:ind w:left="567"/>
        <w:jc w:val="both"/>
        <w:rPr>
          <w:bCs/>
          <w:sz w:val="24"/>
          <w:szCs w:val="24"/>
        </w:rPr>
      </w:pPr>
    </w:p>
    <w:p w:rsidR="008634CF" w:rsidRPr="002B0F59" w:rsidRDefault="00107ADA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e</w:t>
      </w:r>
      <w:r w:rsidR="008634CF" w:rsidRPr="002B0F59">
        <w:rPr>
          <w:bCs/>
          <w:sz w:val="24"/>
          <w:szCs w:val="24"/>
        </w:rPr>
        <w:t>) Atualização monetária</w:t>
      </w:r>
      <w:r w:rsidR="00630E37" w:rsidRPr="002B0F59">
        <w:rPr>
          <w:bCs/>
          <w:sz w:val="24"/>
          <w:szCs w:val="24"/>
        </w:rPr>
        <w:t>.</w:t>
      </w:r>
      <w:r w:rsidR="008634CF" w:rsidRPr="002B0F59">
        <w:rPr>
          <w:bCs/>
          <w:sz w:val="24"/>
          <w:szCs w:val="24"/>
        </w:rPr>
        <w:t xml:space="preserve"> Os efeitos da alteração do poder aquisitivo da moeda nacional devem ser reconhecidos n</w:t>
      </w:r>
      <w:r w:rsidR="00D45368" w:rsidRPr="002B0F59">
        <w:rPr>
          <w:bCs/>
          <w:sz w:val="24"/>
          <w:szCs w:val="24"/>
        </w:rPr>
        <w:t>o</w:t>
      </w:r>
      <w:r w:rsidR="008634CF" w:rsidRPr="002B0F59">
        <w:rPr>
          <w:bCs/>
          <w:sz w:val="24"/>
          <w:szCs w:val="24"/>
        </w:rPr>
        <w:t xml:space="preserve">s registros contábeis </w:t>
      </w:r>
      <w:r w:rsidR="004F079C" w:rsidRPr="002B0F59">
        <w:rPr>
          <w:bCs/>
          <w:sz w:val="24"/>
          <w:szCs w:val="24"/>
        </w:rPr>
        <w:t>mediante</w:t>
      </w:r>
      <w:r w:rsidR="008634CF" w:rsidRPr="002B0F59">
        <w:rPr>
          <w:bCs/>
          <w:sz w:val="24"/>
          <w:szCs w:val="24"/>
        </w:rPr>
        <w:t xml:space="preserve"> o ajustamento da expressão formal dos valores dos componentes patrimoniais</w:t>
      </w:r>
      <w:r w:rsidR="005569CF">
        <w:rPr>
          <w:bCs/>
          <w:sz w:val="24"/>
          <w:szCs w:val="24"/>
        </w:rPr>
        <w:t>.</w:t>
      </w:r>
      <w:r w:rsidR="005569CF" w:rsidRPr="002B0F59" w:rsidDel="005569CF">
        <w:rPr>
          <w:bCs/>
          <w:sz w:val="24"/>
          <w:szCs w:val="24"/>
        </w:rPr>
        <w:t xml:space="preserve"> </w:t>
      </w:r>
    </w:p>
    <w:p w:rsidR="00156B11" w:rsidRDefault="00156B11" w:rsidP="002B0F59">
      <w:pPr>
        <w:ind w:left="567"/>
        <w:jc w:val="both"/>
        <w:rPr>
          <w:bCs/>
          <w:sz w:val="24"/>
          <w:szCs w:val="24"/>
        </w:rPr>
      </w:pPr>
    </w:p>
    <w:p w:rsidR="008634CF" w:rsidRPr="002B0F59" w:rsidRDefault="00425D0F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§ 2º</w:t>
      </w:r>
      <w:r w:rsidR="008634CF" w:rsidRPr="002B0F59">
        <w:rPr>
          <w:bCs/>
          <w:sz w:val="24"/>
          <w:szCs w:val="24"/>
        </w:rPr>
        <w:t xml:space="preserve"> São resultantes da adoção da atualização monetária:</w:t>
      </w: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I – a moeda, embora aceita universalmente como medida de valor, não representa unidade constante em termos do poder aquisitivo;</w:t>
      </w: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</w:p>
    <w:p w:rsidR="00292535" w:rsidRPr="002B0F59" w:rsidRDefault="00292535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II – para que a avaliação do patrimônio possa manter os valores da</w:t>
      </w:r>
      <w:r w:rsidR="008634CF" w:rsidRPr="002B0F59">
        <w:rPr>
          <w:bCs/>
          <w:sz w:val="24"/>
          <w:szCs w:val="24"/>
        </w:rPr>
        <w:t>s transações originais</w:t>
      </w:r>
      <w:r w:rsidRPr="002B0F59">
        <w:rPr>
          <w:bCs/>
          <w:sz w:val="24"/>
          <w:szCs w:val="24"/>
        </w:rPr>
        <w:t>, é necessário atualizar sua expressão formal em moeda nacional, a fim de que permaneçam substantivamente corretos os valores dos compone</w:t>
      </w:r>
      <w:r w:rsidR="007F36E5" w:rsidRPr="002B0F59">
        <w:rPr>
          <w:bCs/>
          <w:sz w:val="24"/>
          <w:szCs w:val="24"/>
        </w:rPr>
        <w:t>ntes patrimoniais e, por consequência</w:t>
      </w:r>
      <w:r w:rsidR="00B36416" w:rsidRPr="002B0F59">
        <w:rPr>
          <w:bCs/>
          <w:sz w:val="24"/>
          <w:szCs w:val="24"/>
        </w:rPr>
        <w:t>, o do Patrimônio L</w:t>
      </w:r>
      <w:r w:rsidRPr="002B0F59">
        <w:rPr>
          <w:bCs/>
          <w:sz w:val="24"/>
          <w:szCs w:val="24"/>
        </w:rPr>
        <w:t>íquido;</w:t>
      </w:r>
      <w:r w:rsidR="00E24776" w:rsidRPr="002B0F59">
        <w:rPr>
          <w:bCs/>
          <w:sz w:val="24"/>
          <w:szCs w:val="24"/>
        </w:rPr>
        <w:t xml:space="preserve"> e</w:t>
      </w:r>
    </w:p>
    <w:p w:rsidR="00292535" w:rsidRPr="002B0F59" w:rsidRDefault="007F36E5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 xml:space="preserve">  </w:t>
      </w:r>
    </w:p>
    <w:p w:rsidR="00292535" w:rsidRPr="00120F45" w:rsidRDefault="00292535" w:rsidP="002B0F59">
      <w:pPr>
        <w:ind w:left="567"/>
        <w:jc w:val="both"/>
        <w:rPr>
          <w:bCs/>
          <w:sz w:val="24"/>
          <w:szCs w:val="24"/>
        </w:rPr>
      </w:pPr>
      <w:r w:rsidRPr="002B0F59">
        <w:rPr>
          <w:bCs/>
          <w:sz w:val="24"/>
          <w:szCs w:val="24"/>
        </w:rPr>
        <w:t>III – a atualização monetária não representa nova avaliação, mas tão</w:t>
      </w:r>
      <w:r w:rsidR="00B96FF3" w:rsidRPr="002B0F59">
        <w:rPr>
          <w:bCs/>
          <w:sz w:val="24"/>
          <w:szCs w:val="24"/>
        </w:rPr>
        <w:t xml:space="preserve"> </w:t>
      </w:r>
      <w:r w:rsidRPr="002B0F59">
        <w:rPr>
          <w:bCs/>
          <w:sz w:val="24"/>
          <w:szCs w:val="24"/>
        </w:rPr>
        <w:t>somente o ajustamento dos valores originais para determinada data, mediante a aplicação de indexadores ou outros elementos aptos a traduzir a variação do poder aquisitivo da moeda nacional em um dado período</w:t>
      </w:r>
      <w:r w:rsidR="00FE70F6">
        <w:rPr>
          <w:bCs/>
          <w:sz w:val="24"/>
          <w:szCs w:val="24"/>
        </w:rPr>
        <w:t>.”</w:t>
      </w:r>
    </w:p>
    <w:p w:rsidR="00AF799E" w:rsidRDefault="00AF799E" w:rsidP="002B0F59">
      <w:pPr>
        <w:ind w:left="567"/>
        <w:jc w:val="both"/>
        <w:rPr>
          <w:bCs/>
          <w:sz w:val="24"/>
          <w:szCs w:val="24"/>
        </w:rPr>
      </w:pPr>
    </w:p>
    <w:p w:rsidR="00156B11" w:rsidRPr="00805983" w:rsidRDefault="000929C1" w:rsidP="002B0F59">
      <w:pPr>
        <w:ind w:left="567"/>
        <w:jc w:val="both"/>
        <w:rPr>
          <w:bCs/>
          <w:sz w:val="24"/>
          <w:szCs w:val="24"/>
        </w:rPr>
      </w:pPr>
      <w:r w:rsidRPr="00805983">
        <w:rPr>
          <w:bCs/>
          <w:sz w:val="24"/>
          <w:szCs w:val="24"/>
        </w:rPr>
        <w:t>(</w:t>
      </w:r>
      <w:r w:rsidR="00156B11" w:rsidRPr="00805983">
        <w:rPr>
          <w:bCs/>
          <w:sz w:val="24"/>
          <w:szCs w:val="24"/>
        </w:rPr>
        <w:t>...</w:t>
      </w:r>
      <w:r w:rsidRPr="00805983">
        <w:rPr>
          <w:bCs/>
          <w:sz w:val="24"/>
          <w:szCs w:val="24"/>
        </w:rPr>
        <w:t>)</w:t>
      </w:r>
    </w:p>
    <w:p w:rsidR="00292535" w:rsidRPr="004301CE" w:rsidRDefault="00292535">
      <w:pPr>
        <w:ind w:firstLine="2268"/>
        <w:jc w:val="both"/>
        <w:rPr>
          <w:sz w:val="24"/>
          <w:szCs w:val="24"/>
        </w:rPr>
      </w:pPr>
    </w:p>
    <w:p w:rsidR="00292535" w:rsidRPr="004301CE" w:rsidRDefault="00805983" w:rsidP="002B0F59">
      <w:pPr>
        <w:ind w:left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“</w:t>
      </w:r>
      <w:r w:rsidR="008634CF" w:rsidRPr="004301CE">
        <w:rPr>
          <w:bCs/>
          <w:sz w:val="24"/>
          <w:szCs w:val="24"/>
        </w:rPr>
        <w:t xml:space="preserve">Art. </w:t>
      </w:r>
      <w:r w:rsidR="002B0F59">
        <w:rPr>
          <w:bCs/>
          <w:sz w:val="24"/>
          <w:szCs w:val="24"/>
        </w:rPr>
        <w:t>9</w:t>
      </w:r>
      <w:r w:rsidR="00292535" w:rsidRPr="004301CE">
        <w:rPr>
          <w:bCs/>
          <w:sz w:val="24"/>
          <w:szCs w:val="24"/>
        </w:rPr>
        <w:t>º</w:t>
      </w:r>
      <w:r w:rsidR="00292535" w:rsidRPr="004301CE">
        <w:rPr>
          <w:sz w:val="24"/>
          <w:szCs w:val="24"/>
        </w:rPr>
        <w:t xml:space="preserve"> O Princípio da </w:t>
      </w:r>
      <w:r w:rsidR="00B11113" w:rsidRPr="004301CE">
        <w:rPr>
          <w:sz w:val="24"/>
          <w:szCs w:val="24"/>
        </w:rPr>
        <w:t>Competência</w:t>
      </w:r>
      <w:r w:rsidR="00292535" w:rsidRPr="004301CE">
        <w:rPr>
          <w:sz w:val="24"/>
          <w:szCs w:val="24"/>
        </w:rPr>
        <w:t xml:space="preserve"> </w:t>
      </w:r>
      <w:r w:rsidR="00443ECD" w:rsidRPr="004301CE">
        <w:rPr>
          <w:sz w:val="24"/>
          <w:szCs w:val="24"/>
        </w:rPr>
        <w:t xml:space="preserve">determina que os efeitos das transações e outros </w:t>
      </w:r>
      <w:smartTag w:uri="urn:schemas-microsoft-com:office:smarttags" w:element="PersonName">
        <w:r w:rsidR="00443ECD" w:rsidRPr="004301CE">
          <w:rPr>
            <w:sz w:val="24"/>
            <w:szCs w:val="24"/>
          </w:rPr>
          <w:t>eventos</w:t>
        </w:r>
      </w:smartTag>
      <w:r w:rsidR="00443ECD" w:rsidRPr="004301CE">
        <w:rPr>
          <w:sz w:val="24"/>
          <w:szCs w:val="24"/>
        </w:rPr>
        <w:t xml:space="preserve"> </w:t>
      </w:r>
      <w:r w:rsidR="000F119C" w:rsidRPr="004301CE">
        <w:rPr>
          <w:sz w:val="24"/>
          <w:szCs w:val="24"/>
        </w:rPr>
        <w:t>sejam</w:t>
      </w:r>
      <w:r w:rsidR="00443ECD" w:rsidRPr="004301CE">
        <w:rPr>
          <w:sz w:val="24"/>
          <w:szCs w:val="24"/>
        </w:rPr>
        <w:t xml:space="preserve"> reconhecidos </w:t>
      </w:r>
      <w:r w:rsidR="008634CF" w:rsidRPr="004301CE">
        <w:rPr>
          <w:sz w:val="24"/>
          <w:szCs w:val="24"/>
        </w:rPr>
        <w:t>n</w:t>
      </w:r>
      <w:r w:rsidR="00443ECD" w:rsidRPr="004301CE">
        <w:rPr>
          <w:sz w:val="24"/>
          <w:szCs w:val="24"/>
        </w:rPr>
        <w:t>os períodos a que se referem</w:t>
      </w:r>
      <w:r w:rsidR="007E3DF4" w:rsidRPr="004301CE">
        <w:rPr>
          <w:sz w:val="24"/>
          <w:szCs w:val="24"/>
        </w:rPr>
        <w:t>, independentemente do recebimento ou pagamento</w:t>
      </w:r>
      <w:r w:rsidR="000F119C" w:rsidRPr="004301CE">
        <w:rPr>
          <w:sz w:val="24"/>
          <w:szCs w:val="24"/>
        </w:rPr>
        <w:t>.</w:t>
      </w:r>
    </w:p>
    <w:p w:rsidR="00A97CD3" w:rsidRPr="004301CE" w:rsidRDefault="00A97CD3">
      <w:pPr>
        <w:ind w:firstLine="2268"/>
        <w:jc w:val="both"/>
        <w:rPr>
          <w:sz w:val="24"/>
          <w:szCs w:val="24"/>
        </w:rPr>
      </w:pPr>
    </w:p>
    <w:p w:rsidR="000E6F7D" w:rsidRDefault="00214FDA" w:rsidP="002B0F59">
      <w:pPr>
        <w:ind w:left="567"/>
        <w:jc w:val="both"/>
        <w:rPr>
          <w:sz w:val="24"/>
          <w:szCs w:val="24"/>
        </w:rPr>
      </w:pPr>
      <w:r w:rsidRPr="004301CE">
        <w:rPr>
          <w:sz w:val="24"/>
          <w:szCs w:val="24"/>
        </w:rPr>
        <w:t>Parágrafo único.</w:t>
      </w:r>
      <w:r w:rsidR="00F71529" w:rsidRPr="004301CE">
        <w:rPr>
          <w:sz w:val="24"/>
          <w:szCs w:val="24"/>
        </w:rPr>
        <w:t xml:space="preserve"> </w:t>
      </w:r>
      <w:r w:rsidR="00292535" w:rsidRPr="004301CE">
        <w:rPr>
          <w:sz w:val="24"/>
          <w:szCs w:val="24"/>
        </w:rPr>
        <w:t xml:space="preserve">O </w:t>
      </w:r>
      <w:r w:rsidR="00425D0F" w:rsidRPr="004301CE">
        <w:rPr>
          <w:sz w:val="24"/>
          <w:szCs w:val="24"/>
        </w:rPr>
        <w:t>Princípio</w:t>
      </w:r>
      <w:r w:rsidR="00F71529" w:rsidRPr="004301CE">
        <w:rPr>
          <w:sz w:val="24"/>
          <w:szCs w:val="24"/>
        </w:rPr>
        <w:t xml:space="preserve"> d</w:t>
      </w:r>
      <w:r w:rsidR="00425D0F" w:rsidRPr="004301CE">
        <w:rPr>
          <w:sz w:val="24"/>
          <w:szCs w:val="24"/>
        </w:rPr>
        <w:t>a</w:t>
      </w:r>
      <w:r w:rsidR="00F71529" w:rsidRPr="004301CE">
        <w:rPr>
          <w:sz w:val="24"/>
          <w:szCs w:val="24"/>
        </w:rPr>
        <w:t xml:space="preserve"> </w:t>
      </w:r>
      <w:r w:rsidR="00425D0F" w:rsidRPr="004301CE">
        <w:rPr>
          <w:sz w:val="24"/>
          <w:szCs w:val="24"/>
        </w:rPr>
        <w:t>C</w:t>
      </w:r>
      <w:r w:rsidR="00B11113" w:rsidRPr="004301CE">
        <w:rPr>
          <w:sz w:val="24"/>
          <w:szCs w:val="24"/>
        </w:rPr>
        <w:t>ompetência</w:t>
      </w:r>
      <w:r w:rsidR="00F71529" w:rsidRPr="004301CE">
        <w:rPr>
          <w:sz w:val="24"/>
          <w:szCs w:val="24"/>
        </w:rPr>
        <w:t xml:space="preserve"> pressupõe a </w:t>
      </w:r>
      <w:r w:rsidR="00D1118A" w:rsidRPr="004301CE">
        <w:rPr>
          <w:sz w:val="24"/>
          <w:szCs w:val="24"/>
        </w:rPr>
        <w:t xml:space="preserve">simultaneidade da </w:t>
      </w:r>
      <w:r w:rsidR="00F71529" w:rsidRPr="004301CE">
        <w:rPr>
          <w:sz w:val="24"/>
          <w:szCs w:val="24"/>
        </w:rPr>
        <w:t xml:space="preserve">confrontação de receitas e </w:t>
      </w:r>
      <w:r w:rsidR="00641E8C">
        <w:rPr>
          <w:sz w:val="24"/>
          <w:szCs w:val="24"/>
        </w:rPr>
        <w:t xml:space="preserve">de </w:t>
      </w:r>
      <w:r w:rsidR="00F71529" w:rsidRPr="004301CE">
        <w:rPr>
          <w:sz w:val="24"/>
          <w:szCs w:val="24"/>
        </w:rPr>
        <w:t>despesas correlatas.</w:t>
      </w:r>
      <w:r w:rsidR="00805983">
        <w:rPr>
          <w:sz w:val="24"/>
          <w:szCs w:val="24"/>
        </w:rPr>
        <w:t>”</w:t>
      </w:r>
    </w:p>
    <w:p w:rsidR="00292535" w:rsidRPr="004301CE" w:rsidRDefault="00292535" w:rsidP="0043032E">
      <w:pPr>
        <w:ind w:firstLine="2268"/>
        <w:jc w:val="both"/>
        <w:rPr>
          <w:sz w:val="24"/>
          <w:szCs w:val="24"/>
        </w:rPr>
      </w:pPr>
    </w:p>
    <w:p w:rsidR="000929C1" w:rsidRPr="00805983" w:rsidRDefault="00BA6757" w:rsidP="000929C1">
      <w:pPr>
        <w:ind w:left="567"/>
        <w:jc w:val="both"/>
        <w:rPr>
          <w:bCs/>
          <w:sz w:val="24"/>
          <w:szCs w:val="24"/>
        </w:rPr>
      </w:pPr>
      <w:r w:rsidRPr="00805983">
        <w:rPr>
          <w:bCs/>
          <w:sz w:val="24"/>
          <w:szCs w:val="24"/>
        </w:rPr>
        <w:t xml:space="preserve">Art. 10. </w:t>
      </w:r>
      <w:r w:rsidR="000929C1" w:rsidRPr="00805983">
        <w:rPr>
          <w:bCs/>
          <w:sz w:val="24"/>
          <w:szCs w:val="24"/>
        </w:rPr>
        <w:t>(...)</w:t>
      </w:r>
    </w:p>
    <w:p w:rsidR="00156B11" w:rsidRDefault="00156B11" w:rsidP="002B0F59">
      <w:pPr>
        <w:ind w:left="567"/>
        <w:jc w:val="both"/>
        <w:rPr>
          <w:sz w:val="24"/>
          <w:szCs w:val="24"/>
        </w:rPr>
      </w:pPr>
    </w:p>
    <w:p w:rsidR="00292535" w:rsidRPr="004301CE" w:rsidRDefault="00805983" w:rsidP="002B0F5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EC1BB7" w:rsidRPr="004301CE">
        <w:rPr>
          <w:sz w:val="24"/>
          <w:szCs w:val="24"/>
        </w:rPr>
        <w:t>Parágrafo único</w:t>
      </w:r>
      <w:r w:rsidR="00630E37" w:rsidRPr="004301CE">
        <w:rPr>
          <w:sz w:val="24"/>
          <w:szCs w:val="24"/>
        </w:rPr>
        <w:t>.</w:t>
      </w:r>
      <w:r w:rsidR="00EC1BB7" w:rsidRPr="004301CE">
        <w:rPr>
          <w:sz w:val="24"/>
          <w:szCs w:val="24"/>
        </w:rPr>
        <w:t xml:space="preserve"> </w:t>
      </w:r>
      <w:r w:rsidR="007E3DF4" w:rsidRPr="004301CE">
        <w:rPr>
          <w:sz w:val="24"/>
          <w:szCs w:val="24"/>
        </w:rPr>
        <w:t>O Princípio da</w:t>
      </w:r>
      <w:r w:rsidR="00AF2D69" w:rsidRPr="004301CE">
        <w:rPr>
          <w:sz w:val="24"/>
          <w:szCs w:val="24"/>
        </w:rPr>
        <w:t xml:space="preserve"> P</w:t>
      </w:r>
      <w:r w:rsidR="00B11113" w:rsidRPr="004301CE">
        <w:rPr>
          <w:sz w:val="24"/>
          <w:szCs w:val="24"/>
        </w:rPr>
        <w:t>rudência</w:t>
      </w:r>
      <w:r w:rsidR="00AF2D69" w:rsidRPr="004301CE">
        <w:rPr>
          <w:sz w:val="24"/>
          <w:szCs w:val="24"/>
        </w:rPr>
        <w:t xml:space="preserve"> pressupõe</w:t>
      </w:r>
      <w:r w:rsidR="001D06B8" w:rsidRPr="004301CE">
        <w:rPr>
          <w:sz w:val="24"/>
          <w:szCs w:val="24"/>
        </w:rPr>
        <w:t xml:space="preserve"> o emprego de certo grau de precaução no exercício dos julgamentos necessários às estimativas em certas condições de incerteza, no sentido de</w:t>
      </w:r>
      <w:r w:rsidR="00AF2D69" w:rsidRPr="004301CE">
        <w:rPr>
          <w:sz w:val="24"/>
          <w:szCs w:val="24"/>
        </w:rPr>
        <w:t xml:space="preserve"> que ativos e receitas não sejam superestimados e que passivos e despesas não sejam subestimados</w:t>
      </w:r>
      <w:r w:rsidR="00B6636B">
        <w:rPr>
          <w:sz w:val="24"/>
          <w:szCs w:val="24"/>
        </w:rPr>
        <w:t>,</w:t>
      </w:r>
      <w:r w:rsidR="005B05FC" w:rsidRPr="004301CE">
        <w:rPr>
          <w:sz w:val="24"/>
          <w:szCs w:val="24"/>
        </w:rPr>
        <w:t xml:space="preserve"> atribuindo maior confiabilidade </w:t>
      </w:r>
      <w:r w:rsidR="007E3DF4" w:rsidRPr="004301CE">
        <w:rPr>
          <w:sz w:val="24"/>
          <w:szCs w:val="24"/>
        </w:rPr>
        <w:t>ao processo de mensuração e apresentação dos componentes patrimoniais</w:t>
      </w:r>
      <w:r w:rsidR="005B05FC" w:rsidRPr="004301CE">
        <w:rPr>
          <w:sz w:val="24"/>
          <w:szCs w:val="24"/>
        </w:rPr>
        <w:t>.</w:t>
      </w:r>
      <w:r w:rsidR="00FE70F6">
        <w:rPr>
          <w:sz w:val="24"/>
          <w:szCs w:val="24"/>
        </w:rPr>
        <w:t>”</w:t>
      </w:r>
    </w:p>
    <w:p w:rsidR="00292535" w:rsidRPr="004301CE" w:rsidRDefault="00292535">
      <w:pPr>
        <w:ind w:firstLine="2268"/>
        <w:jc w:val="both"/>
        <w:rPr>
          <w:sz w:val="24"/>
          <w:szCs w:val="24"/>
        </w:rPr>
      </w:pPr>
    </w:p>
    <w:p w:rsidR="00BA6757" w:rsidRPr="00156B11" w:rsidRDefault="00BA6757" w:rsidP="00BA6757">
      <w:pPr>
        <w:ind w:firstLine="2127"/>
        <w:jc w:val="both"/>
        <w:rPr>
          <w:sz w:val="24"/>
          <w:szCs w:val="24"/>
        </w:rPr>
      </w:pPr>
      <w:r w:rsidRPr="00156B11">
        <w:rPr>
          <w:sz w:val="24"/>
          <w:szCs w:val="24"/>
        </w:rPr>
        <w:t xml:space="preserve">Art. </w:t>
      </w:r>
      <w:r w:rsidRPr="00805983">
        <w:rPr>
          <w:sz w:val="24"/>
          <w:szCs w:val="24"/>
        </w:rPr>
        <w:t>4º</w:t>
      </w:r>
      <w:r w:rsidRPr="00BA6757">
        <w:rPr>
          <w:color w:val="0000FF"/>
          <w:sz w:val="24"/>
          <w:szCs w:val="24"/>
        </w:rPr>
        <w:t xml:space="preserve"> </w:t>
      </w:r>
      <w:r w:rsidRPr="00156B11">
        <w:rPr>
          <w:sz w:val="24"/>
          <w:szCs w:val="24"/>
        </w:rPr>
        <w:t>Ficam revogados o inciso V do art. 3º</w:t>
      </w:r>
      <w:r w:rsidR="00305F8A">
        <w:rPr>
          <w:sz w:val="24"/>
          <w:szCs w:val="24"/>
        </w:rPr>
        <w:t>,</w:t>
      </w:r>
      <w:r w:rsidR="00305F8A" w:rsidRPr="00305F8A">
        <w:rPr>
          <w:sz w:val="24"/>
          <w:szCs w:val="24"/>
        </w:rPr>
        <w:t xml:space="preserve"> </w:t>
      </w:r>
      <w:r w:rsidR="00305F8A" w:rsidRPr="00156B11">
        <w:rPr>
          <w:sz w:val="24"/>
          <w:szCs w:val="24"/>
        </w:rPr>
        <w:t>o art</w:t>
      </w:r>
      <w:r w:rsidR="00305F8A">
        <w:rPr>
          <w:sz w:val="24"/>
          <w:szCs w:val="24"/>
        </w:rPr>
        <w:t>.</w:t>
      </w:r>
      <w:r w:rsidR="00305F8A" w:rsidRPr="00156B11">
        <w:rPr>
          <w:sz w:val="24"/>
          <w:szCs w:val="24"/>
        </w:rPr>
        <w:t xml:space="preserve"> 8º</w:t>
      </w:r>
      <w:r w:rsidRPr="00156B11">
        <w:rPr>
          <w:sz w:val="24"/>
          <w:szCs w:val="24"/>
        </w:rPr>
        <w:t xml:space="preserve"> e os §§ 2º e 3º do art. 10, da Resolução CFC n.º 750/93, publicada no D.O.U., Seção I, de 31.12.93</w:t>
      </w:r>
      <w:r w:rsidR="000F64E6">
        <w:rPr>
          <w:sz w:val="24"/>
          <w:szCs w:val="24"/>
        </w:rPr>
        <w:t xml:space="preserve">; </w:t>
      </w:r>
      <w:r w:rsidRPr="00156B11">
        <w:rPr>
          <w:sz w:val="24"/>
          <w:szCs w:val="24"/>
        </w:rPr>
        <w:t>a Resoluç</w:t>
      </w:r>
      <w:r w:rsidR="00305F8A">
        <w:rPr>
          <w:sz w:val="24"/>
          <w:szCs w:val="24"/>
        </w:rPr>
        <w:t>ão</w:t>
      </w:r>
      <w:r w:rsidRPr="00156B11">
        <w:rPr>
          <w:sz w:val="24"/>
          <w:szCs w:val="24"/>
        </w:rPr>
        <w:t xml:space="preserve"> CFC </w:t>
      </w:r>
      <w:r w:rsidRPr="00B12C47">
        <w:rPr>
          <w:bCs/>
          <w:iCs/>
        </w:rPr>
        <w:t>n.</w:t>
      </w:r>
      <w:r w:rsidRPr="00B12C47">
        <w:rPr>
          <w:bCs/>
          <w:iCs/>
          <w:vertAlign w:val="superscript"/>
        </w:rPr>
        <w:t>o</w:t>
      </w:r>
      <w:r w:rsidRPr="008D2A84">
        <w:rPr>
          <w:bCs/>
          <w:i/>
          <w:iCs/>
          <w:vertAlign w:val="superscript"/>
        </w:rPr>
        <w:t xml:space="preserve"> </w:t>
      </w:r>
      <w:r w:rsidRPr="00156B11">
        <w:rPr>
          <w:sz w:val="24"/>
          <w:szCs w:val="24"/>
        </w:rPr>
        <w:t>774/94, publicada no D.O.U., Seção I, de 18/1/95</w:t>
      </w:r>
      <w:r w:rsidR="003872D4">
        <w:rPr>
          <w:sz w:val="24"/>
          <w:szCs w:val="24"/>
        </w:rPr>
        <w:t>,</w:t>
      </w:r>
      <w:r w:rsidRPr="00156B11">
        <w:rPr>
          <w:sz w:val="24"/>
          <w:szCs w:val="24"/>
        </w:rPr>
        <w:t xml:space="preserve"> e </w:t>
      </w:r>
      <w:r w:rsidR="00305F8A" w:rsidRPr="00156B11">
        <w:rPr>
          <w:sz w:val="24"/>
          <w:szCs w:val="24"/>
        </w:rPr>
        <w:t>a Resoluç</w:t>
      </w:r>
      <w:r w:rsidR="00305F8A">
        <w:rPr>
          <w:sz w:val="24"/>
          <w:szCs w:val="24"/>
        </w:rPr>
        <w:t>ão</w:t>
      </w:r>
      <w:r w:rsidR="00305F8A" w:rsidRPr="00156B11">
        <w:rPr>
          <w:sz w:val="24"/>
          <w:szCs w:val="24"/>
        </w:rPr>
        <w:t xml:space="preserve"> CFC </w:t>
      </w:r>
      <w:r w:rsidR="00305F8A" w:rsidRPr="00B12C47">
        <w:rPr>
          <w:bCs/>
          <w:iCs/>
        </w:rPr>
        <w:t>n.</w:t>
      </w:r>
      <w:r w:rsidR="00305F8A" w:rsidRPr="00B12C47">
        <w:rPr>
          <w:bCs/>
          <w:iCs/>
          <w:vertAlign w:val="superscript"/>
        </w:rPr>
        <w:t>o</w:t>
      </w:r>
      <w:r w:rsidR="00305F8A" w:rsidRPr="00156B11">
        <w:rPr>
          <w:sz w:val="24"/>
          <w:szCs w:val="24"/>
        </w:rPr>
        <w:t xml:space="preserve"> 900/01, publicada no D.O.U., Seção I, de 3/4/01</w:t>
      </w:r>
      <w:r w:rsidRPr="00156B11">
        <w:rPr>
          <w:sz w:val="24"/>
          <w:szCs w:val="24"/>
        </w:rPr>
        <w:t>.</w:t>
      </w:r>
    </w:p>
    <w:p w:rsidR="00BA6757" w:rsidRDefault="00BA6757" w:rsidP="005F2434">
      <w:pPr>
        <w:ind w:firstLine="2127"/>
        <w:jc w:val="both"/>
        <w:rPr>
          <w:bCs/>
          <w:sz w:val="24"/>
          <w:szCs w:val="24"/>
        </w:rPr>
      </w:pPr>
    </w:p>
    <w:p w:rsidR="005F2434" w:rsidRDefault="00A71F55" w:rsidP="005F2434">
      <w:pPr>
        <w:ind w:firstLine="2127"/>
        <w:jc w:val="both"/>
        <w:rPr>
          <w:sz w:val="24"/>
          <w:szCs w:val="24"/>
        </w:rPr>
      </w:pPr>
      <w:r w:rsidRPr="004301CE">
        <w:rPr>
          <w:bCs/>
          <w:sz w:val="24"/>
          <w:szCs w:val="24"/>
        </w:rPr>
        <w:t xml:space="preserve">Art. </w:t>
      </w:r>
      <w:r w:rsidR="00BA6757" w:rsidRPr="00805983">
        <w:rPr>
          <w:bCs/>
          <w:sz w:val="24"/>
          <w:szCs w:val="24"/>
        </w:rPr>
        <w:t>5</w:t>
      </w:r>
      <w:r w:rsidRPr="00805983">
        <w:rPr>
          <w:bCs/>
          <w:sz w:val="24"/>
          <w:szCs w:val="24"/>
        </w:rPr>
        <w:t>º</w:t>
      </w:r>
      <w:r w:rsidRPr="004301CE">
        <w:rPr>
          <w:sz w:val="24"/>
          <w:szCs w:val="24"/>
        </w:rPr>
        <w:t xml:space="preserve"> Esta Resolução entra em vigor </w:t>
      </w:r>
      <w:r w:rsidRPr="00E136D8"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4301CE">
        <w:rPr>
          <w:sz w:val="24"/>
          <w:szCs w:val="24"/>
        </w:rPr>
        <w:t>data de sua publicação</w:t>
      </w:r>
      <w:r>
        <w:rPr>
          <w:sz w:val="24"/>
          <w:szCs w:val="24"/>
        </w:rPr>
        <w:t>.</w:t>
      </w:r>
    </w:p>
    <w:p w:rsidR="00AB636F" w:rsidRDefault="00AB636F" w:rsidP="005F2434">
      <w:pPr>
        <w:ind w:firstLine="2127"/>
        <w:jc w:val="both"/>
        <w:rPr>
          <w:b/>
          <w:sz w:val="24"/>
          <w:szCs w:val="24"/>
        </w:rPr>
      </w:pPr>
    </w:p>
    <w:p w:rsidR="00AB636F" w:rsidRDefault="00AB636F" w:rsidP="00C23AB1">
      <w:pPr>
        <w:pStyle w:val="Recuodecorpodetexto2"/>
        <w:jc w:val="right"/>
        <w:rPr>
          <w:sz w:val="24"/>
          <w:szCs w:val="24"/>
        </w:rPr>
      </w:pPr>
    </w:p>
    <w:p w:rsidR="00C23AB1" w:rsidRDefault="00C23AB1" w:rsidP="00C23AB1">
      <w:pPr>
        <w:pStyle w:val="Recuodecorpodetexto2"/>
        <w:jc w:val="right"/>
        <w:rPr>
          <w:sz w:val="24"/>
          <w:szCs w:val="24"/>
        </w:rPr>
      </w:pPr>
    </w:p>
    <w:p w:rsidR="00C23AB1" w:rsidRPr="004301CE" w:rsidRDefault="00C23AB1" w:rsidP="00C23AB1">
      <w:pPr>
        <w:pStyle w:val="Recuodecorpodetexto2"/>
        <w:jc w:val="right"/>
        <w:rPr>
          <w:sz w:val="24"/>
          <w:szCs w:val="24"/>
        </w:rPr>
      </w:pPr>
      <w:r w:rsidRPr="004301CE">
        <w:rPr>
          <w:sz w:val="24"/>
          <w:szCs w:val="24"/>
        </w:rPr>
        <w:t xml:space="preserve">Brasília, 28 de </w:t>
      </w:r>
      <w:r w:rsidR="00C779C5">
        <w:rPr>
          <w:sz w:val="24"/>
          <w:szCs w:val="24"/>
        </w:rPr>
        <w:t>maio</w:t>
      </w:r>
      <w:r w:rsidR="00C779C5" w:rsidRPr="004301CE">
        <w:rPr>
          <w:sz w:val="24"/>
          <w:szCs w:val="24"/>
        </w:rPr>
        <w:t xml:space="preserve"> </w:t>
      </w:r>
      <w:r w:rsidRPr="004301CE">
        <w:rPr>
          <w:sz w:val="24"/>
          <w:szCs w:val="24"/>
        </w:rPr>
        <w:t>de 20</w:t>
      </w:r>
      <w:r w:rsidR="00C779C5">
        <w:rPr>
          <w:sz w:val="24"/>
          <w:szCs w:val="24"/>
        </w:rPr>
        <w:t>10</w:t>
      </w:r>
      <w:r w:rsidRPr="004301CE">
        <w:rPr>
          <w:sz w:val="24"/>
          <w:szCs w:val="24"/>
        </w:rPr>
        <w:t>.</w:t>
      </w:r>
    </w:p>
    <w:p w:rsidR="00C23AB1" w:rsidRDefault="00C23AB1" w:rsidP="00C23AB1">
      <w:pPr>
        <w:ind w:firstLine="1418"/>
        <w:rPr>
          <w:sz w:val="24"/>
          <w:szCs w:val="24"/>
        </w:rPr>
      </w:pPr>
    </w:p>
    <w:p w:rsidR="00C23AB1" w:rsidRPr="004301CE" w:rsidRDefault="00C23AB1" w:rsidP="00C23AB1">
      <w:pPr>
        <w:rPr>
          <w:sz w:val="24"/>
          <w:szCs w:val="24"/>
        </w:rPr>
      </w:pPr>
    </w:p>
    <w:p w:rsidR="00C23AB1" w:rsidRPr="004301CE" w:rsidRDefault="00C23AB1" w:rsidP="00C23AB1">
      <w:pPr>
        <w:jc w:val="center"/>
        <w:rPr>
          <w:bCs/>
          <w:sz w:val="24"/>
          <w:szCs w:val="24"/>
        </w:rPr>
      </w:pPr>
      <w:r w:rsidRPr="004301CE">
        <w:rPr>
          <w:sz w:val="24"/>
          <w:szCs w:val="24"/>
        </w:rPr>
        <w:t xml:space="preserve">Contador </w:t>
      </w:r>
      <w:r w:rsidR="00045749">
        <w:rPr>
          <w:b/>
          <w:sz w:val="24"/>
          <w:szCs w:val="24"/>
        </w:rPr>
        <w:t>Juarez Domingues Carneiro</w:t>
      </w:r>
    </w:p>
    <w:p w:rsidR="00C23AB1" w:rsidRPr="004301CE" w:rsidRDefault="00C23AB1" w:rsidP="00C23AB1">
      <w:pPr>
        <w:pStyle w:val="Recuodecorpodetexto2"/>
        <w:ind w:firstLine="0"/>
        <w:jc w:val="center"/>
        <w:rPr>
          <w:sz w:val="24"/>
          <w:szCs w:val="24"/>
        </w:rPr>
      </w:pPr>
      <w:r w:rsidRPr="004301CE">
        <w:rPr>
          <w:sz w:val="24"/>
          <w:szCs w:val="24"/>
        </w:rPr>
        <w:t>Presidente</w:t>
      </w:r>
    </w:p>
    <w:p w:rsidR="00C23AB1" w:rsidRPr="004301CE" w:rsidRDefault="00C23AB1" w:rsidP="00C23AB1">
      <w:pPr>
        <w:pStyle w:val="Recuodecorpodetexto2"/>
        <w:ind w:hanging="5103"/>
        <w:rPr>
          <w:sz w:val="24"/>
          <w:szCs w:val="24"/>
        </w:rPr>
      </w:pPr>
      <w:r w:rsidRPr="004301CE">
        <w:rPr>
          <w:sz w:val="24"/>
          <w:szCs w:val="24"/>
        </w:rPr>
        <w:t>Ata CFC nº. 916</w:t>
      </w:r>
    </w:p>
    <w:p w:rsidR="00C23AB1" w:rsidRPr="004301CE" w:rsidRDefault="00C23AB1" w:rsidP="00C23AB1">
      <w:pPr>
        <w:pStyle w:val="Recuodecorpodetexto2"/>
        <w:ind w:hanging="5103"/>
        <w:rPr>
          <w:sz w:val="24"/>
          <w:szCs w:val="24"/>
        </w:rPr>
      </w:pPr>
    </w:p>
    <w:p w:rsidR="00C23AB1" w:rsidRPr="004301CE" w:rsidRDefault="00C23AB1" w:rsidP="00C23AB1">
      <w:pPr>
        <w:pStyle w:val="Recuodecorpodetexto2"/>
        <w:ind w:hanging="5103"/>
        <w:rPr>
          <w:sz w:val="24"/>
          <w:szCs w:val="24"/>
        </w:rPr>
      </w:pPr>
    </w:p>
    <w:p w:rsidR="00C23AB1" w:rsidRPr="004301CE" w:rsidRDefault="00C23AB1" w:rsidP="00C23AB1">
      <w:pPr>
        <w:pStyle w:val="Recuodecorpodetexto2"/>
        <w:tabs>
          <w:tab w:val="left" w:pos="0"/>
        </w:tabs>
        <w:ind w:left="4820" w:hanging="4820"/>
        <w:rPr>
          <w:sz w:val="24"/>
          <w:szCs w:val="24"/>
        </w:rPr>
      </w:pPr>
      <w:r w:rsidRPr="004301CE">
        <w:rPr>
          <w:sz w:val="24"/>
          <w:szCs w:val="24"/>
        </w:rPr>
        <w:t>Ata CFC n</w:t>
      </w:r>
      <w:r>
        <w:rPr>
          <w:sz w:val="24"/>
          <w:szCs w:val="24"/>
        </w:rPr>
        <w:t>.</w:t>
      </w:r>
      <w:r w:rsidRPr="004301CE">
        <w:rPr>
          <w:sz w:val="24"/>
          <w:szCs w:val="24"/>
        </w:rPr>
        <w:t xml:space="preserve">º </w:t>
      </w:r>
      <w:r w:rsidR="003872D4">
        <w:rPr>
          <w:sz w:val="24"/>
          <w:szCs w:val="24"/>
        </w:rPr>
        <w:t>937</w:t>
      </w:r>
    </w:p>
    <w:p w:rsidR="00422F33" w:rsidRPr="004301CE" w:rsidRDefault="00422F33">
      <w:pPr>
        <w:jc w:val="center"/>
        <w:rPr>
          <w:sz w:val="24"/>
          <w:szCs w:val="24"/>
        </w:rPr>
      </w:pPr>
    </w:p>
    <w:sectPr w:rsidR="00422F33" w:rsidRPr="004301CE" w:rsidSect="00416799">
      <w:headerReference w:type="default" r:id="rId8"/>
      <w:footerReference w:type="default" r:id="rId9"/>
      <w:pgSz w:w="11907" w:h="16840" w:code="9"/>
      <w:pgMar w:top="2977" w:right="1418" w:bottom="851" w:left="1418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F6" w:rsidRDefault="005278F6" w:rsidP="00D925AC">
      <w:r>
        <w:separator/>
      </w:r>
    </w:p>
  </w:endnote>
  <w:endnote w:type="continuationSeparator" w:id="1">
    <w:p w:rsidR="005278F6" w:rsidRDefault="005278F6" w:rsidP="00D9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7E" w:rsidRPr="00A97CD3" w:rsidRDefault="006F3C7E" w:rsidP="00A97CD3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F6" w:rsidRDefault="005278F6" w:rsidP="00D925AC">
      <w:r>
        <w:separator/>
      </w:r>
    </w:p>
  </w:footnote>
  <w:footnote w:type="continuationSeparator" w:id="1">
    <w:p w:rsidR="005278F6" w:rsidRDefault="005278F6" w:rsidP="00D92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7E" w:rsidRDefault="006F3C7E">
    <w:pPr>
      <w:pStyle w:val="Cabealho"/>
    </w:pPr>
  </w:p>
  <w:p w:rsidR="006F3C7E" w:rsidRDefault="006F3C7E" w:rsidP="00A97CD3">
    <w:pPr>
      <w:pStyle w:val="Cabealh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AEB"/>
    <w:multiLevelType w:val="singleLevel"/>
    <w:tmpl w:val="A93E5968"/>
    <w:lvl w:ilvl="0">
      <w:start w:val="1"/>
      <w:numFmt w:val="upp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>
    <w:nsid w:val="3B6C6E91"/>
    <w:multiLevelType w:val="singleLevel"/>
    <w:tmpl w:val="FE965D84"/>
    <w:lvl w:ilvl="0">
      <w:start w:val="1"/>
      <w:numFmt w:val="upperRoman"/>
      <w:lvlText w:val="%1)"/>
      <w:lvlJc w:val="left"/>
      <w:pPr>
        <w:tabs>
          <w:tab w:val="num" w:pos="2988"/>
        </w:tabs>
        <w:ind w:left="298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535"/>
    <w:rsid w:val="00000121"/>
    <w:rsid w:val="00006728"/>
    <w:rsid w:val="000142DF"/>
    <w:rsid w:val="0002355D"/>
    <w:rsid w:val="00026EEB"/>
    <w:rsid w:val="00040CF3"/>
    <w:rsid w:val="00045749"/>
    <w:rsid w:val="00054E86"/>
    <w:rsid w:val="00060E42"/>
    <w:rsid w:val="00062545"/>
    <w:rsid w:val="00067B4E"/>
    <w:rsid w:val="000750A7"/>
    <w:rsid w:val="00087674"/>
    <w:rsid w:val="00091C2D"/>
    <w:rsid w:val="000929C1"/>
    <w:rsid w:val="00094625"/>
    <w:rsid w:val="000B6FB3"/>
    <w:rsid w:val="000C7E32"/>
    <w:rsid w:val="000D65B0"/>
    <w:rsid w:val="000E6F7D"/>
    <w:rsid w:val="000F119C"/>
    <w:rsid w:val="000F3E68"/>
    <w:rsid w:val="000F4FC1"/>
    <w:rsid w:val="000F64E6"/>
    <w:rsid w:val="000F79DE"/>
    <w:rsid w:val="00107ADA"/>
    <w:rsid w:val="00120F45"/>
    <w:rsid w:val="00153719"/>
    <w:rsid w:val="0015490A"/>
    <w:rsid w:val="00156B11"/>
    <w:rsid w:val="001668F7"/>
    <w:rsid w:val="0017230A"/>
    <w:rsid w:val="001A5BE1"/>
    <w:rsid w:val="001B03F1"/>
    <w:rsid w:val="001B1901"/>
    <w:rsid w:val="001B1BB7"/>
    <w:rsid w:val="001B409A"/>
    <w:rsid w:val="001C1F88"/>
    <w:rsid w:val="001C2DCB"/>
    <w:rsid w:val="001D06B8"/>
    <w:rsid w:val="001D1132"/>
    <w:rsid w:val="001D40DF"/>
    <w:rsid w:val="001D4B81"/>
    <w:rsid w:val="00204E9B"/>
    <w:rsid w:val="00214FDA"/>
    <w:rsid w:val="00220140"/>
    <w:rsid w:val="00267823"/>
    <w:rsid w:val="0027021D"/>
    <w:rsid w:val="002704CB"/>
    <w:rsid w:val="00274491"/>
    <w:rsid w:val="00276392"/>
    <w:rsid w:val="00292535"/>
    <w:rsid w:val="002B0F59"/>
    <w:rsid w:val="002B2904"/>
    <w:rsid w:val="002E1E71"/>
    <w:rsid w:val="002E1E8B"/>
    <w:rsid w:val="00304345"/>
    <w:rsid w:val="00305F8A"/>
    <w:rsid w:val="00324EFF"/>
    <w:rsid w:val="00335470"/>
    <w:rsid w:val="00337263"/>
    <w:rsid w:val="0034285A"/>
    <w:rsid w:val="00346C47"/>
    <w:rsid w:val="00350B33"/>
    <w:rsid w:val="00357AD7"/>
    <w:rsid w:val="003872D4"/>
    <w:rsid w:val="003910BA"/>
    <w:rsid w:val="003931B9"/>
    <w:rsid w:val="00394C26"/>
    <w:rsid w:val="003955FD"/>
    <w:rsid w:val="003A1B11"/>
    <w:rsid w:val="003A5862"/>
    <w:rsid w:val="003D3311"/>
    <w:rsid w:val="003D38B3"/>
    <w:rsid w:val="003D6C0E"/>
    <w:rsid w:val="003E209A"/>
    <w:rsid w:val="00410086"/>
    <w:rsid w:val="00410BCC"/>
    <w:rsid w:val="00416799"/>
    <w:rsid w:val="00417D35"/>
    <w:rsid w:val="00422F33"/>
    <w:rsid w:val="00425D0F"/>
    <w:rsid w:val="004301CE"/>
    <w:rsid w:val="0043032E"/>
    <w:rsid w:val="00443ECD"/>
    <w:rsid w:val="00444401"/>
    <w:rsid w:val="0044516C"/>
    <w:rsid w:val="00453E6C"/>
    <w:rsid w:val="0045422C"/>
    <w:rsid w:val="00456054"/>
    <w:rsid w:val="004679F1"/>
    <w:rsid w:val="00490338"/>
    <w:rsid w:val="004A3C41"/>
    <w:rsid w:val="004D0C74"/>
    <w:rsid w:val="004D2CD3"/>
    <w:rsid w:val="004D5D8A"/>
    <w:rsid w:val="004E79D8"/>
    <w:rsid w:val="004F079C"/>
    <w:rsid w:val="004F0B8F"/>
    <w:rsid w:val="00502F21"/>
    <w:rsid w:val="00505A2D"/>
    <w:rsid w:val="005269DB"/>
    <w:rsid w:val="005278F6"/>
    <w:rsid w:val="0054105D"/>
    <w:rsid w:val="00547456"/>
    <w:rsid w:val="005569CF"/>
    <w:rsid w:val="005723EF"/>
    <w:rsid w:val="005856AE"/>
    <w:rsid w:val="005B05FC"/>
    <w:rsid w:val="005B075B"/>
    <w:rsid w:val="005C222E"/>
    <w:rsid w:val="005D6156"/>
    <w:rsid w:val="005E2039"/>
    <w:rsid w:val="005F2434"/>
    <w:rsid w:val="00607242"/>
    <w:rsid w:val="00630E37"/>
    <w:rsid w:val="00641E8C"/>
    <w:rsid w:val="006443C7"/>
    <w:rsid w:val="00663E04"/>
    <w:rsid w:val="00663E99"/>
    <w:rsid w:val="0066508C"/>
    <w:rsid w:val="006B62A5"/>
    <w:rsid w:val="006B7A8A"/>
    <w:rsid w:val="006C0697"/>
    <w:rsid w:val="006C1634"/>
    <w:rsid w:val="006E2448"/>
    <w:rsid w:val="006E75FD"/>
    <w:rsid w:val="006F3C7E"/>
    <w:rsid w:val="007000AF"/>
    <w:rsid w:val="007135FC"/>
    <w:rsid w:val="0072666F"/>
    <w:rsid w:val="007336FE"/>
    <w:rsid w:val="00736823"/>
    <w:rsid w:val="007637A2"/>
    <w:rsid w:val="00780B3D"/>
    <w:rsid w:val="007E3DF4"/>
    <w:rsid w:val="007F36E5"/>
    <w:rsid w:val="00805983"/>
    <w:rsid w:val="00805DFF"/>
    <w:rsid w:val="008253DF"/>
    <w:rsid w:val="008274AD"/>
    <w:rsid w:val="008359D8"/>
    <w:rsid w:val="008361FB"/>
    <w:rsid w:val="00852C94"/>
    <w:rsid w:val="008634CF"/>
    <w:rsid w:val="00890F9A"/>
    <w:rsid w:val="008D4F1A"/>
    <w:rsid w:val="008D67BF"/>
    <w:rsid w:val="008F4775"/>
    <w:rsid w:val="00902E03"/>
    <w:rsid w:val="0090746A"/>
    <w:rsid w:val="0091229F"/>
    <w:rsid w:val="00926503"/>
    <w:rsid w:val="00932E97"/>
    <w:rsid w:val="00940E31"/>
    <w:rsid w:val="00962AE5"/>
    <w:rsid w:val="009829FF"/>
    <w:rsid w:val="009A0D06"/>
    <w:rsid w:val="009A7E86"/>
    <w:rsid w:val="009C3859"/>
    <w:rsid w:val="009D743A"/>
    <w:rsid w:val="009E5EE8"/>
    <w:rsid w:val="009F5F9B"/>
    <w:rsid w:val="00A1431C"/>
    <w:rsid w:val="00A23472"/>
    <w:rsid w:val="00A46A8E"/>
    <w:rsid w:val="00A52375"/>
    <w:rsid w:val="00A65406"/>
    <w:rsid w:val="00A71F55"/>
    <w:rsid w:val="00A96188"/>
    <w:rsid w:val="00A97CD3"/>
    <w:rsid w:val="00AA689C"/>
    <w:rsid w:val="00AB4D75"/>
    <w:rsid w:val="00AB636F"/>
    <w:rsid w:val="00AE0552"/>
    <w:rsid w:val="00AF2D69"/>
    <w:rsid w:val="00AF3F69"/>
    <w:rsid w:val="00AF6F1A"/>
    <w:rsid w:val="00AF70F1"/>
    <w:rsid w:val="00AF799E"/>
    <w:rsid w:val="00B110B9"/>
    <w:rsid w:val="00B11113"/>
    <w:rsid w:val="00B32B8D"/>
    <w:rsid w:val="00B36416"/>
    <w:rsid w:val="00B47F57"/>
    <w:rsid w:val="00B5191E"/>
    <w:rsid w:val="00B52DF9"/>
    <w:rsid w:val="00B55FF2"/>
    <w:rsid w:val="00B6636B"/>
    <w:rsid w:val="00B7662A"/>
    <w:rsid w:val="00B96FF3"/>
    <w:rsid w:val="00BA6757"/>
    <w:rsid w:val="00BB2AB3"/>
    <w:rsid w:val="00BD33F7"/>
    <w:rsid w:val="00C04690"/>
    <w:rsid w:val="00C23AB1"/>
    <w:rsid w:val="00C61B5B"/>
    <w:rsid w:val="00C62477"/>
    <w:rsid w:val="00C76AA0"/>
    <w:rsid w:val="00C779C5"/>
    <w:rsid w:val="00C97B3D"/>
    <w:rsid w:val="00CA3196"/>
    <w:rsid w:val="00CA3907"/>
    <w:rsid w:val="00CD1615"/>
    <w:rsid w:val="00CE03DA"/>
    <w:rsid w:val="00CE1A8A"/>
    <w:rsid w:val="00CE43BA"/>
    <w:rsid w:val="00CF4EE7"/>
    <w:rsid w:val="00D02345"/>
    <w:rsid w:val="00D05083"/>
    <w:rsid w:val="00D1118A"/>
    <w:rsid w:val="00D17E2F"/>
    <w:rsid w:val="00D45368"/>
    <w:rsid w:val="00D57C29"/>
    <w:rsid w:val="00D765B2"/>
    <w:rsid w:val="00D925AC"/>
    <w:rsid w:val="00DA4E1C"/>
    <w:rsid w:val="00DB1B86"/>
    <w:rsid w:val="00DC561A"/>
    <w:rsid w:val="00DC5F27"/>
    <w:rsid w:val="00DD6021"/>
    <w:rsid w:val="00E1096C"/>
    <w:rsid w:val="00E136D8"/>
    <w:rsid w:val="00E24776"/>
    <w:rsid w:val="00E278E8"/>
    <w:rsid w:val="00E51E34"/>
    <w:rsid w:val="00E5696C"/>
    <w:rsid w:val="00E66FD7"/>
    <w:rsid w:val="00E74D88"/>
    <w:rsid w:val="00E82F1E"/>
    <w:rsid w:val="00E916D0"/>
    <w:rsid w:val="00E91B1B"/>
    <w:rsid w:val="00EA6721"/>
    <w:rsid w:val="00EC1BB7"/>
    <w:rsid w:val="00EC6F59"/>
    <w:rsid w:val="00EF47CF"/>
    <w:rsid w:val="00F20579"/>
    <w:rsid w:val="00F33957"/>
    <w:rsid w:val="00F54C4A"/>
    <w:rsid w:val="00F71529"/>
    <w:rsid w:val="00F7533D"/>
    <w:rsid w:val="00F8145B"/>
    <w:rsid w:val="00FA376A"/>
    <w:rsid w:val="00FC1F81"/>
    <w:rsid w:val="00FE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</w:rPr>
  </w:style>
  <w:style w:type="paragraph" w:styleId="Ttulo1">
    <w:name w:val="heading 1"/>
    <w:basedOn w:val="Normal"/>
    <w:next w:val="Normal"/>
    <w:qFormat/>
    <w:pPr>
      <w:keepNext/>
      <w:ind w:firstLine="2268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3402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firstLine="3686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4820"/>
      <w:jc w:val="both"/>
    </w:pPr>
    <w:rPr>
      <w:b/>
    </w:rPr>
  </w:style>
  <w:style w:type="paragraph" w:styleId="Recuodecorpodetexto2">
    <w:name w:val="Body Text Indent 2"/>
    <w:basedOn w:val="Normal"/>
    <w:pPr>
      <w:ind w:firstLine="2268"/>
      <w:jc w:val="both"/>
    </w:pPr>
  </w:style>
  <w:style w:type="paragraph" w:styleId="Corpodetexto">
    <w:name w:val="Body Text"/>
    <w:basedOn w:val="Normal"/>
    <w:pPr>
      <w:jc w:val="both"/>
    </w:pPr>
    <w:rPr>
      <w:b/>
      <w:sz w:val="20"/>
    </w:rPr>
  </w:style>
  <w:style w:type="paragraph" w:styleId="Cabealho">
    <w:name w:val="header"/>
    <w:basedOn w:val="Normal"/>
    <w:link w:val="CabealhoChar"/>
    <w:rsid w:val="00D92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25AC"/>
    <w:rPr>
      <w:sz w:val="26"/>
    </w:rPr>
  </w:style>
  <w:style w:type="paragraph" w:styleId="Rodap">
    <w:name w:val="footer"/>
    <w:basedOn w:val="Normal"/>
    <w:link w:val="RodapChar"/>
    <w:rsid w:val="00D92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25AC"/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3C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40E31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940E31"/>
    <w:rPr>
      <w:b/>
      <w:sz w:val="32"/>
    </w:rPr>
  </w:style>
  <w:style w:type="paragraph" w:styleId="Pr-formataoHTML">
    <w:name w:val="HTML Preformatted"/>
    <w:basedOn w:val="Normal"/>
    <w:link w:val="Pr-formataoHTMLChar"/>
    <w:semiHidden/>
    <w:rsid w:val="0017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17230A"/>
    <w:rPr>
      <w:rFonts w:ascii="Courier New" w:eastAsia="Courier New" w:hAnsi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9D7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43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43A"/>
    <w:rPr>
      <w:b/>
      <w:bCs/>
    </w:rPr>
  </w:style>
  <w:style w:type="paragraph" w:styleId="PargrafodaLista">
    <w:name w:val="List Paragraph"/>
    <w:basedOn w:val="Normal"/>
    <w:uiPriority w:val="34"/>
    <w:qFormat/>
    <w:rsid w:val="00AF79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FEE7-24FC-41DA-97BA-C0C9CB87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CFC Nº 750/93</vt:lpstr>
    </vt:vector>
  </TitlesOfParts>
  <Company>CFC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CFC Nº 750/93</dc:title>
  <dc:creator>FABRICIA</dc:creator>
  <cp:lastModifiedBy>Juliana</cp:lastModifiedBy>
  <cp:revision>2</cp:revision>
  <cp:lastPrinted>2009-08-28T11:37:00Z</cp:lastPrinted>
  <dcterms:created xsi:type="dcterms:W3CDTF">2015-10-13T13:14:00Z</dcterms:created>
  <dcterms:modified xsi:type="dcterms:W3CDTF">2015-10-13T13:14:00Z</dcterms:modified>
</cp:coreProperties>
</file>